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12"/>
      </w:tblGrid>
      <w:tr w:rsidR="00680392" w:rsidRPr="00680392" w14:paraId="07AD9712" w14:textId="77777777" w:rsidTr="00680392">
        <w:tc>
          <w:tcPr>
            <w:tcW w:w="2122" w:type="dxa"/>
          </w:tcPr>
          <w:p w14:paraId="1B87DEA0" w14:textId="77777777" w:rsidR="00170E21" w:rsidRPr="00680392" w:rsidRDefault="00170E21" w:rsidP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RKP</w:t>
            </w:r>
          </w:p>
        </w:tc>
        <w:tc>
          <w:tcPr>
            <w:tcW w:w="7512" w:type="dxa"/>
          </w:tcPr>
          <w:p w14:paraId="46746D73" w14:textId="77777777" w:rsidR="00170E21" w:rsidRPr="00680392" w:rsidRDefault="00CC184A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51302</w:t>
            </w:r>
          </w:p>
          <w:p w14:paraId="7B97BFFF" w14:textId="77777777" w:rsidR="006A7AD0" w:rsidRPr="00680392" w:rsidRDefault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680392" w:rsidRPr="00680392" w14:paraId="1DADE7FB" w14:textId="77777777" w:rsidTr="00680392">
        <w:tc>
          <w:tcPr>
            <w:tcW w:w="2122" w:type="dxa"/>
          </w:tcPr>
          <w:p w14:paraId="298943B7" w14:textId="77777777" w:rsidR="00170E21" w:rsidRPr="00680392" w:rsidRDefault="00170E21" w:rsidP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Naziv obveznika:</w:t>
            </w:r>
          </w:p>
        </w:tc>
        <w:tc>
          <w:tcPr>
            <w:tcW w:w="7512" w:type="dxa"/>
          </w:tcPr>
          <w:p w14:paraId="11F78379" w14:textId="77777777" w:rsidR="00170E21" w:rsidRDefault="00CC184A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LUČKA UPRAVA RIJEKA</w:t>
            </w:r>
          </w:p>
          <w:p w14:paraId="5F7B7114" w14:textId="77777777" w:rsidR="006A7AD0" w:rsidRPr="00680392" w:rsidRDefault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680392" w:rsidRPr="00680392" w14:paraId="51770FF7" w14:textId="77777777" w:rsidTr="00680392">
        <w:tc>
          <w:tcPr>
            <w:tcW w:w="2122" w:type="dxa"/>
          </w:tcPr>
          <w:p w14:paraId="33A94840" w14:textId="77777777" w:rsidR="00170E21" w:rsidRPr="00680392" w:rsidRDefault="00170E21" w:rsidP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Razina:</w:t>
            </w:r>
          </w:p>
        </w:tc>
        <w:tc>
          <w:tcPr>
            <w:tcW w:w="7512" w:type="dxa"/>
          </w:tcPr>
          <w:p w14:paraId="00457E58" w14:textId="77777777" w:rsidR="00170E21" w:rsidRPr="00680392" w:rsidRDefault="00CC184A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11</w:t>
            </w:r>
          </w:p>
          <w:p w14:paraId="050CA733" w14:textId="77777777" w:rsidR="006A7AD0" w:rsidRPr="00680392" w:rsidRDefault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680392" w:rsidRPr="00680392" w14:paraId="68E15A92" w14:textId="77777777" w:rsidTr="00680392">
        <w:tc>
          <w:tcPr>
            <w:tcW w:w="2122" w:type="dxa"/>
          </w:tcPr>
          <w:p w14:paraId="5FAC6708" w14:textId="77777777" w:rsidR="00170E21" w:rsidRPr="00680392" w:rsidRDefault="00170E21" w:rsidP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Oznaka razdoblja:</w:t>
            </w:r>
          </w:p>
        </w:tc>
        <w:tc>
          <w:tcPr>
            <w:tcW w:w="7512" w:type="dxa"/>
          </w:tcPr>
          <w:p w14:paraId="73F991F8" w14:textId="46A8AF9D" w:rsidR="00170E21" w:rsidRPr="00680392" w:rsidRDefault="00CC184A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202</w:t>
            </w:r>
            <w:r w:rsidR="0002330D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-12</w:t>
            </w:r>
          </w:p>
          <w:p w14:paraId="4861BECB" w14:textId="77777777" w:rsidR="006A7AD0" w:rsidRPr="00680392" w:rsidRDefault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F2541C" w:rsidRPr="00680392" w14:paraId="4DE18E15" w14:textId="77777777" w:rsidTr="00680392">
        <w:tc>
          <w:tcPr>
            <w:tcW w:w="2122" w:type="dxa"/>
          </w:tcPr>
          <w:p w14:paraId="285C714D" w14:textId="77777777" w:rsidR="00F2541C" w:rsidRPr="00F2541C" w:rsidRDefault="00F2541C" w:rsidP="006A7AD0">
            <w:pPr>
              <w:rPr>
                <w:rFonts w:ascii="Times New Roman" w:hAnsi="Times New Roman" w:cs="Times New Roman"/>
                <w:color w:val="003399"/>
                <w:sz w:val="16"/>
                <w:szCs w:val="16"/>
              </w:rPr>
            </w:pPr>
            <w:r w:rsidRPr="00F2541C">
              <w:rPr>
                <w:rFonts w:ascii="Times New Roman" w:hAnsi="Times New Roman" w:cs="Times New Roman"/>
                <w:color w:val="003399"/>
                <w:sz w:val="16"/>
                <w:szCs w:val="16"/>
              </w:rPr>
              <w:t>Web lokacija na kojoj se objavljuju financijska izvješća</w:t>
            </w:r>
            <w:r>
              <w:rPr>
                <w:rFonts w:ascii="Times New Roman" w:hAnsi="Times New Roman" w:cs="Times New Roman"/>
                <w:color w:val="003399"/>
                <w:sz w:val="16"/>
                <w:szCs w:val="16"/>
              </w:rPr>
              <w:t xml:space="preserve"> (www.xxxx)</w:t>
            </w:r>
          </w:p>
        </w:tc>
        <w:tc>
          <w:tcPr>
            <w:tcW w:w="7512" w:type="dxa"/>
          </w:tcPr>
          <w:p w14:paraId="7D735DC7" w14:textId="249913CB" w:rsidR="00F2541C" w:rsidRPr="007441B8" w:rsidRDefault="007441B8" w:rsidP="007441B8">
            <w:pPr>
              <w:spacing w:after="160" w:line="259" w:lineRule="auto"/>
            </w:pPr>
            <w:hyperlink r:id="rId8" w:history="1">
              <w:r>
                <w:rPr>
                  <w:rStyle w:val="Hyperlink"/>
                </w:rPr>
                <w:t>www.portauthority.hr/izvjesca-i-odluke/</w:t>
              </w:r>
            </w:hyperlink>
          </w:p>
        </w:tc>
      </w:tr>
    </w:tbl>
    <w:p w14:paraId="61149FF5" w14:textId="77777777" w:rsidR="00CC75C5" w:rsidRDefault="00CC75C5" w:rsidP="00170E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495C28" w14:textId="77777777" w:rsidR="00680392" w:rsidRDefault="00680392" w:rsidP="00170E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6168C8" w14:textId="77777777" w:rsidR="00064C4E" w:rsidRPr="00680392" w:rsidRDefault="00036DEE" w:rsidP="00170E21">
      <w:pPr>
        <w:jc w:val="center"/>
        <w:rPr>
          <w:rFonts w:ascii="Times New Roman" w:hAnsi="Times New Roman" w:cs="Times New Roman"/>
          <w:b/>
          <w:color w:val="003399"/>
          <w:sz w:val="28"/>
          <w:szCs w:val="28"/>
        </w:rPr>
      </w:pPr>
      <w:r w:rsidRPr="00680392">
        <w:rPr>
          <w:rFonts w:ascii="Times New Roman" w:hAnsi="Times New Roman" w:cs="Times New Roman"/>
          <w:b/>
          <w:color w:val="003399"/>
          <w:sz w:val="28"/>
          <w:szCs w:val="28"/>
        </w:rPr>
        <w:t>B I LJ E Š K E  U Z  F I N A N C I J S K A</w:t>
      </w:r>
      <w:r w:rsidR="000A0ED1"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</w:t>
      </w:r>
      <w:r w:rsidRPr="00680392"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I Z V J EŠ Ć A</w:t>
      </w:r>
    </w:p>
    <w:p w14:paraId="6FFDC367" w14:textId="77777777" w:rsidR="00680392" w:rsidRDefault="00680392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753E4545" w14:textId="77777777" w:rsidR="00680392" w:rsidRDefault="00680392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083480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0F455D5" w14:textId="77777777" w:rsidR="004F6DF2" w:rsidRPr="00680392" w:rsidRDefault="004F6DF2">
          <w:pPr>
            <w:pStyle w:val="TOCHeading"/>
            <w:rPr>
              <w:rFonts w:ascii="Times New Roman" w:hAnsi="Times New Roman" w:cs="Times New Roman"/>
            </w:rPr>
          </w:pPr>
          <w:r w:rsidRPr="00680392">
            <w:rPr>
              <w:rFonts w:ascii="Times New Roman" w:hAnsi="Times New Roman" w:cs="Times New Roman"/>
            </w:rPr>
            <w:t>S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a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d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r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ž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a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j</w:t>
          </w:r>
        </w:p>
        <w:p w14:paraId="688DD0A0" w14:textId="37CC275A" w:rsidR="004F6DF2" w:rsidRPr="00680392" w:rsidRDefault="004F6DF2">
          <w:pPr>
            <w:pStyle w:val="TOC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68039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8039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8039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28989454" w:history="1">
            <w:r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 I LJ E Š K E  U Z  B I L A N C U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_Toc128989454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0372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897AE5" w14:textId="7E470E08" w:rsidR="004F6DF2" w:rsidRPr="00680392" w:rsidRDefault="004F6DF2">
          <w:pPr>
            <w:pStyle w:val="TOC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55" w:history="1">
            <w:r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 M O V I N A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_Toc128989455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0372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3C64D4" w14:textId="17F4289C" w:rsidR="004F6DF2" w:rsidRPr="00680392" w:rsidRDefault="004F6DF2">
          <w:pPr>
            <w:pStyle w:val="TOC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56" w:history="1">
            <w:r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O B V E Z E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_Toc128989456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0372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F4F759" w14:textId="3A8C4D8A" w:rsidR="004F6DF2" w:rsidRPr="00680392" w:rsidRDefault="004F6DF2">
          <w:pPr>
            <w:pStyle w:val="TOC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57" w:history="1">
            <w:r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 I LJ E Š K E  U Z  O B R A Z A C  P R – R A S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_Toc128989457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0372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C2058C" w14:textId="6CD6AB62" w:rsidR="004F6DF2" w:rsidRPr="00680392" w:rsidRDefault="004F6DF2">
          <w:pPr>
            <w:pStyle w:val="TOC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58" w:history="1">
            <w:r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 R I H O D I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_Toc128989458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0372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5B9B21" w14:textId="11B857EF" w:rsidR="004F6DF2" w:rsidRPr="00680392" w:rsidRDefault="004F6DF2">
          <w:pPr>
            <w:pStyle w:val="TOC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59" w:history="1">
            <w:r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 A S H O D I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_Toc128989459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0372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5B47EF" w14:textId="1BE2C328" w:rsidR="004F6DF2" w:rsidRPr="00680392" w:rsidRDefault="004F6DF2">
          <w:pPr>
            <w:pStyle w:val="TOC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60" w:history="1">
            <w:r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 I LJ E Š K E  U Z  O B R A Z A C  P – V R I O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_Toc128989460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0372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E37AE9" w14:textId="0584C98A" w:rsidR="004F6DF2" w:rsidRPr="00680392" w:rsidRDefault="004F6DF2">
          <w:pPr>
            <w:pStyle w:val="TOC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61" w:history="1">
            <w:r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 A S – f u n k c i j s k i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_Toc128989461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0372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EF0360" w14:textId="3C772131" w:rsidR="004F6DF2" w:rsidRPr="00680392" w:rsidRDefault="004F6DF2">
          <w:pPr>
            <w:pStyle w:val="TOC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62" w:history="1">
            <w:r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 I LJ E Š K E  U Z  O B R A Z A C  O B V E Z E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_Toc128989462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0372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6165B3" w14:textId="77777777" w:rsidR="004F6DF2" w:rsidRDefault="004F6DF2">
          <w:r w:rsidRPr="0068039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3A874631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729C882F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7A2170BA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6FEE80EF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2BD54A49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308F96EE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0F9DFC16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3ADC8061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3835DF68" w14:textId="77777777" w:rsidR="00170E21" w:rsidRPr="00036DEE" w:rsidRDefault="00170E21" w:rsidP="00036DEE">
      <w:pPr>
        <w:pStyle w:val="Heading1"/>
      </w:pPr>
      <w:bookmarkStart w:id="0" w:name="_Toc128989454"/>
      <w:r w:rsidRPr="00036DEE">
        <w:lastRenderedPageBreak/>
        <w:t>B I LJ E Š K E  U Z  B I L A N C U</w:t>
      </w:r>
      <w:bookmarkEnd w:id="0"/>
    </w:p>
    <w:p w14:paraId="0082F10F" w14:textId="6316DEA9" w:rsidR="006621F5" w:rsidRPr="006621F5" w:rsidRDefault="00170E21" w:rsidP="00277161">
      <w:pPr>
        <w:pStyle w:val="Heading2"/>
      </w:pPr>
      <w:bookmarkStart w:id="1" w:name="_Toc128989455"/>
      <w:r w:rsidRPr="00036DEE">
        <w:t>I</w:t>
      </w:r>
      <w:r w:rsidR="00614260" w:rsidRPr="00036DEE">
        <w:t xml:space="preserve"> </w:t>
      </w:r>
      <w:r w:rsidRPr="00036DEE">
        <w:t>M</w:t>
      </w:r>
      <w:r w:rsidR="00614260" w:rsidRPr="00036DEE">
        <w:t xml:space="preserve"> </w:t>
      </w:r>
      <w:r w:rsidRPr="00036DEE">
        <w:t>O</w:t>
      </w:r>
      <w:r w:rsidR="00614260" w:rsidRPr="00036DEE">
        <w:t xml:space="preserve"> </w:t>
      </w:r>
      <w:r w:rsidRPr="00036DEE">
        <w:t>V</w:t>
      </w:r>
      <w:r w:rsidR="00614260" w:rsidRPr="00036DEE">
        <w:t xml:space="preserve"> </w:t>
      </w:r>
      <w:r w:rsidRPr="00036DEE">
        <w:t>I</w:t>
      </w:r>
      <w:r w:rsidR="00614260" w:rsidRPr="00036DEE">
        <w:t xml:space="preserve"> </w:t>
      </w:r>
      <w:r w:rsidRPr="00036DEE">
        <w:t>N</w:t>
      </w:r>
      <w:r w:rsidR="00614260" w:rsidRPr="00036DEE">
        <w:t xml:space="preserve"> </w:t>
      </w:r>
      <w:r w:rsidRPr="00036DEE">
        <w:t>A</w:t>
      </w:r>
      <w:bookmarkEnd w:id="1"/>
    </w:p>
    <w:p w14:paraId="3A668505" w14:textId="77777777" w:rsidR="00170E21" w:rsidRPr="00614260" w:rsidRDefault="00170E21" w:rsidP="000C01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7161">
        <w:rPr>
          <w:rFonts w:ascii="Times New Roman" w:hAnsi="Times New Roman" w:cs="Times New Roman"/>
          <w:b/>
          <w:sz w:val="24"/>
          <w:szCs w:val="24"/>
        </w:rPr>
        <w:t>Neproizvedena</w:t>
      </w:r>
      <w:proofErr w:type="spellEnd"/>
      <w:r w:rsidRPr="00277161">
        <w:rPr>
          <w:rFonts w:ascii="Times New Roman" w:hAnsi="Times New Roman" w:cs="Times New Roman"/>
          <w:b/>
          <w:sz w:val="24"/>
          <w:szCs w:val="24"/>
        </w:rPr>
        <w:t xml:space="preserve"> dugotrajna imovina</w:t>
      </w:r>
      <w:r w:rsidR="0069302A">
        <w:rPr>
          <w:rFonts w:ascii="Times New Roman" w:hAnsi="Times New Roman" w:cs="Times New Roman"/>
          <w:sz w:val="24"/>
          <w:szCs w:val="24"/>
        </w:rPr>
        <w:t xml:space="preserve"> </w:t>
      </w:r>
      <w:r w:rsidR="0069302A" w:rsidRPr="00614260">
        <w:rPr>
          <w:rFonts w:ascii="Times New Roman" w:hAnsi="Times New Roman" w:cs="Times New Roman"/>
          <w:b/>
          <w:sz w:val="24"/>
          <w:szCs w:val="24"/>
        </w:rPr>
        <w:t>(01)</w:t>
      </w:r>
    </w:p>
    <w:p w14:paraId="0A09EFFB" w14:textId="5547EB9F" w:rsidR="006621F5" w:rsidRDefault="006621F5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okviru ove pozicije </w:t>
      </w:r>
      <w:r w:rsidR="00EF139A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u 202</w:t>
      </w:r>
      <w:r w:rsidR="00ED33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.godini </w:t>
      </w:r>
      <w:r w:rsidR="006E553C" w:rsidRPr="00803E29">
        <w:rPr>
          <w:rFonts w:ascii="Times New Roman" w:hAnsi="Times New Roman" w:cs="Times New Roman"/>
          <w:sz w:val="24"/>
          <w:szCs w:val="24"/>
        </w:rPr>
        <w:t>iskazan</w:t>
      </w:r>
      <w:r w:rsidR="009D7938" w:rsidRPr="00803E29">
        <w:rPr>
          <w:rFonts w:ascii="Times New Roman" w:hAnsi="Times New Roman" w:cs="Times New Roman"/>
          <w:sz w:val="24"/>
          <w:szCs w:val="24"/>
        </w:rPr>
        <w:t>a</w:t>
      </w:r>
      <w:r w:rsidR="006E553C" w:rsidRPr="00803E29">
        <w:rPr>
          <w:rFonts w:ascii="Times New Roman" w:hAnsi="Times New Roman" w:cs="Times New Roman"/>
          <w:sz w:val="24"/>
          <w:szCs w:val="24"/>
        </w:rPr>
        <w:t xml:space="preserve"> </w:t>
      </w:r>
      <w:r w:rsidRPr="00803E29">
        <w:rPr>
          <w:rFonts w:ascii="Times New Roman" w:hAnsi="Times New Roman" w:cs="Times New Roman"/>
          <w:sz w:val="24"/>
          <w:szCs w:val="24"/>
        </w:rPr>
        <w:t xml:space="preserve">samo </w:t>
      </w:r>
      <w:r w:rsidR="009D7938" w:rsidRPr="00803E29">
        <w:rPr>
          <w:rFonts w:ascii="Times New Roman" w:hAnsi="Times New Roman" w:cs="Times New Roman"/>
          <w:sz w:val="24"/>
          <w:szCs w:val="24"/>
        </w:rPr>
        <w:t>promjena</w:t>
      </w:r>
      <w:r w:rsidRPr="00803E29">
        <w:rPr>
          <w:rFonts w:ascii="Times New Roman" w:hAnsi="Times New Roman" w:cs="Times New Roman"/>
          <w:sz w:val="24"/>
          <w:szCs w:val="24"/>
        </w:rPr>
        <w:t xml:space="preserve"> ispravka vrijednosti</w:t>
      </w:r>
      <w:r w:rsidR="00081793">
        <w:rPr>
          <w:rFonts w:ascii="Times New Roman" w:hAnsi="Times New Roman" w:cs="Times New Roman"/>
          <w:sz w:val="24"/>
          <w:szCs w:val="24"/>
        </w:rPr>
        <w:t xml:space="preserve"> </w:t>
      </w:r>
      <w:r w:rsidR="0042123C">
        <w:rPr>
          <w:rFonts w:ascii="Times New Roman" w:hAnsi="Times New Roman" w:cs="Times New Roman"/>
          <w:sz w:val="24"/>
          <w:szCs w:val="24"/>
        </w:rPr>
        <w:t>odnosno</w:t>
      </w:r>
      <w:r w:rsidR="0008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793" w:rsidRPr="00BB4AAA">
        <w:rPr>
          <w:rFonts w:ascii="Times New Roman" w:hAnsi="Times New Roman" w:cs="Times New Roman"/>
          <w:sz w:val="24"/>
          <w:szCs w:val="24"/>
        </w:rPr>
        <w:t>isknjiženje</w:t>
      </w:r>
      <w:proofErr w:type="spellEnd"/>
      <w:r w:rsidR="00081793" w:rsidRPr="00BB4AAA">
        <w:rPr>
          <w:rFonts w:ascii="Times New Roman" w:hAnsi="Times New Roman" w:cs="Times New Roman"/>
          <w:sz w:val="24"/>
          <w:szCs w:val="24"/>
        </w:rPr>
        <w:t xml:space="preserve"> </w:t>
      </w:r>
      <w:r w:rsidR="00081793" w:rsidRPr="00803E29">
        <w:rPr>
          <w:rFonts w:ascii="Times New Roman" w:hAnsi="Times New Roman" w:cs="Times New Roman"/>
          <w:sz w:val="24"/>
          <w:szCs w:val="24"/>
        </w:rPr>
        <w:t>nematerijalne imovine (licence</w:t>
      </w:r>
      <w:r w:rsidR="00BB4A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kako i pokazuje sljedeća tablica.</w:t>
      </w:r>
      <w:r w:rsidR="006B62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822FC" w14:textId="3E188CAE" w:rsidR="00614260" w:rsidRDefault="00B74AD5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B74AD5">
        <w:rPr>
          <w:noProof/>
        </w:rPr>
        <w:drawing>
          <wp:inline distT="0" distB="0" distL="0" distR="0" wp14:anchorId="084FDCE4" wp14:editId="457895D3">
            <wp:extent cx="5661660" cy="922020"/>
            <wp:effectExtent l="0" t="0" r="0" b="0"/>
            <wp:docPr id="17088224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1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72FD3A" w14:textId="77777777" w:rsidR="0069302A" w:rsidRPr="00614260" w:rsidRDefault="0069302A" w:rsidP="000C01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77161">
        <w:rPr>
          <w:rFonts w:ascii="Times New Roman" w:hAnsi="Times New Roman" w:cs="Times New Roman"/>
          <w:b/>
          <w:sz w:val="24"/>
          <w:szCs w:val="24"/>
        </w:rPr>
        <w:t xml:space="preserve">Proizvedena dugotrajna imovina </w:t>
      </w:r>
      <w:r w:rsidRPr="00614260">
        <w:rPr>
          <w:rFonts w:ascii="Times New Roman" w:hAnsi="Times New Roman" w:cs="Times New Roman"/>
          <w:b/>
          <w:sz w:val="24"/>
          <w:szCs w:val="24"/>
        </w:rPr>
        <w:t>(02)</w:t>
      </w:r>
    </w:p>
    <w:p w14:paraId="6269988C" w14:textId="4877CDC5" w:rsidR="00172683" w:rsidRPr="00172683" w:rsidRDefault="00172683" w:rsidP="0017268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72683">
        <w:rPr>
          <w:rFonts w:ascii="Times New Roman" w:hAnsi="Times New Roman" w:cs="Times New Roman"/>
          <w:sz w:val="24"/>
          <w:szCs w:val="24"/>
        </w:rPr>
        <w:t>Na</w:t>
      </w:r>
      <w:r w:rsidR="00081793">
        <w:rPr>
          <w:rFonts w:ascii="Times New Roman" w:hAnsi="Times New Roman" w:cs="Times New Roman"/>
          <w:sz w:val="24"/>
          <w:szCs w:val="24"/>
        </w:rPr>
        <w:t xml:space="preserve"> ovoj poziciji na</w:t>
      </w:r>
      <w:r w:rsidRPr="00172683">
        <w:rPr>
          <w:rFonts w:ascii="Times New Roman" w:hAnsi="Times New Roman" w:cs="Times New Roman"/>
          <w:sz w:val="24"/>
          <w:szCs w:val="24"/>
        </w:rPr>
        <w:t>jveće povećanje vrijednosti u 202</w:t>
      </w:r>
      <w:r w:rsidR="007378A6">
        <w:rPr>
          <w:rFonts w:ascii="Times New Roman" w:hAnsi="Times New Roman" w:cs="Times New Roman"/>
          <w:sz w:val="24"/>
          <w:szCs w:val="24"/>
        </w:rPr>
        <w:t>4</w:t>
      </w:r>
      <w:r w:rsidRPr="00172683">
        <w:rPr>
          <w:rFonts w:ascii="Times New Roman" w:hAnsi="Times New Roman" w:cs="Times New Roman"/>
          <w:sz w:val="24"/>
          <w:szCs w:val="24"/>
        </w:rPr>
        <w:t>. godini odnosi se na Građevinske objekte (</w:t>
      </w:r>
      <w:r w:rsidR="007378A6">
        <w:rPr>
          <w:rFonts w:ascii="Times New Roman" w:hAnsi="Times New Roman" w:cs="Times New Roman"/>
          <w:sz w:val="24"/>
          <w:szCs w:val="24"/>
        </w:rPr>
        <w:t>28.901.709,35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Pr="00172683">
        <w:rPr>
          <w:rFonts w:ascii="Times New Roman" w:hAnsi="Times New Roman" w:cs="Times New Roman"/>
          <w:sz w:val="24"/>
          <w:szCs w:val="24"/>
        </w:rPr>
        <w:t xml:space="preserve">), a na povećanje pozicije </w:t>
      </w:r>
      <w:r>
        <w:rPr>
          <w:rFonts w:ascii="Times New Roman" w:hAnsi="Times New Roman" w:cs="Times New Roman"/>
          <w:sz w:val="24"/>
          <w:szCs w:val="24"/>
        </w:rPr>
        <w:t>Postrojenja i oprem</w:t>
      </w:r>
      <w:r w:rsidR="005A73A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odnosi se </w:t>
      </w:r>
      <w:r w:rsidR="007378A6">
        <w:rPr>
          <w:rFonts w:ascii="Times New Roman" w:hAnsi="Times New Roman" w:cs="Times New Roman"/>
          <w:sz w:val="24"/>
          <w:szCs w:val="24"/>
        </w:rPr>
        <w:t>367.969,48</w:t>
      </w:r>
      <w:r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5C1EF489" w14:textId="01BFD58A" w:rsidR="007378A6" w:rsidRPr="007378A6" w:rsidRDefault="00172683" w:rsidP="007378A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72683">
        <w:rPr>
          <w:rFonts w:ascii="Times New Roman" w:hAnsi="Times New Roman" w:cs="Times New Roman"/>
          <w:sz w:val="24"/>
          <w:szCs w:val="24"/>
        </w:rPr>
        <w:t>Navedeno je rezultat aktiviranja, odnosno prijenosa u uporabu završenih p</w:t>
      </w:r>
      <w:r>
        <w:rPr>
          <w:rFonts w:ascii="Times New Roman" w:hAnsi="Times New Roman" w:cs="Times New Roman"/>
          <w:sz w:val="24"/>
          <w:szCs w:val="24"/>
        </w:rPr>
        <w:t>rojekata, a među njima se istič</w:t>
      </w:r>
      <w:r w:rsidR="0018008F">
        <w:rPr>
          <w:rFonts w:ascii="Times New Roman" w:hAnsi="Times New Roman" w:cs="Times New Roman"/>
          <w:sz w:val="24"/>
          <w:szCs w:val="24"/>
        </w:rPr>
        <w:t xml:space="preserve">u </w:t>
      </w:r>
      <w:r w:rsidR="0018008F" w:rsidRPr="00F94E2C">
        <w:rPr>
          <w:rFonts w:ascii="Times New Roman" w:hAnsi="Times New Roman" w:cs="Times New Roman"/>
          <w:sz w:val="24"/>
          <w:szCs w:val="24"/>
        </w:rPr>
        <w:t>ulaganja</w:t>
      </w:r>
      <w:r w:rsidRPr="00F94E2C">
        <w:rPr>
          <w:rFonts w:ascii="Times New Roman" w:hAnsi="Times New Roman" w:cs="Times New Roman"/>
          <w:sz w:val="24"/>
          <w:szCs w:val="24"/>
        </w:rPr>
        <w:t xml:space="preserve"> u </w:t>
      </w:r>
      <w:r w:rsidR="007378A6" w:rsidRPr="007378A6">
        <w:rPr>
          <w:rFonts w:ascii="Times New Roman" w:hAnsi="Times New Roman" w:cs="Times New Roman"/>
          <w:sz w:val="24"/>
          <w:szCs w:val="24"/>
        </w:rPr>
        <w:t>okviru CEF projekta - Unapređenje infrastrukture u luci Rijeka – produbljenje južnog veza AGCT (POR2CORE AGCT DREDGING – 24.129.817,16 EUR)</w:t>
      </w:r>
      <w:r w:rsidR="007378A6">
        <w:rPr>
          <w:rFonts w:ascii="Times New Roman" w:hAnsi="Times New Roman" w:cs="Times New Roman"/>
          <w:sz w:val="24"/>
          <w:szCs w:val="24"/>
        </w:rPr>
        <w:t xml:space="preserve">, </w:t>
      </w:r>
      <w:r w:rsidR="00DF3E73">
        <w:rPr>
          <w:rFonts w:ascii="Times New Roman" w:hAnsi="Times New Roman" w:cs="Times New Roman"/>
          <w:sz w:val="24"/>
          <w:szCs w:val="24"/>
        </w:rPr>
        <w:t>zatim aktiviranje</w:t>
      </w:r>
      <w:r w:rsidR="00DF3E73" w:rsidRPr="00DF3E73">
        <w:rPr>
          <w:rFonts w:ascii="Times New Roman" w:hAnsi="Times New Roman" w:cs="Times New Roman"/>
          <w:sz w:val="24"/>
          <w:szCs w:val="24"/>
        </w:rPr>
        <w:t xml:space="preserve"> </w:t>
      </w:r>
      <w:r w:rsidR="00321DAA" w:rsidRPr="00321DAA">
        <w:rPr>
          <w:rFonts w:ascii="Times New Roman" w:hAnsi="Times New Roman" w:cs="Times New Roman"/>
          <w:sz w:val="24"/>
          <w:szCs w:val="24"/>
        </w:rPr>
        <w:t>ulaganja u uređenje kolnika skladišno-manipulativne površine u Bazenu Rijeka (1.5</w:t>
      </w:r>
      <w:r w:rsidR="00321DAA">
        <w:rPr>
          <w:rFonts w:ascii="Times New Roman" w:hAnsi="Times New Roman" w:cs="Times New Roman"/>
          <w:sz w:val="24"/>
          <w:szCs w:val="24"/>
        </w:rPr>
        <w:t>73.393,29</w:t>
      </w:r>
      <w:r w:rsidR="00321DAA" w:rsidRPr="00321DAA">
        <w:rPr>
          <w:rFonts w:ascii="Times New Roman" w:hAnsi="Times New Roman" w:cs="Times New Roman"/>
          <w:sz w:val="24"/>
          <w:szCs w:val="24"/>
        </w:rPr>
        <w:t xml:space="preserve"> EUR</w:t>
      </w:r>
      <w:r w:rsidR="00321DAA">
        <w:rPr>
          <w:rFonts w:ascii="Times New Roman" w:hAnsi="Times New Roman" w:cs="Times New Roman"/>
          <w:sz w:val="24"/>
          <w:szCs w:val="24"/>
        </w:rPr>
        <w:t>),</w:t>
      </w:r>
      <w:r w:rsidR="00321DAA" w:rsidRPr="00321DAA">
        <w:rPr>
          <w:rFonts w:ascii="Times New Roman" w:hAnsi="Times New Roman" w:cs="Times New Roman"/>
          <w:sz w:val="24"/>
          <w:szCs w:val="24"/>
        </w:rPr>
        <w:t xml:space="preserve"> </w:t>
      </w:r>
      <w:r w:rsidR="00DF3E73" w:rsidRPr="00DF3E73">
        <w:rPr>
          <w:rFonts w:ascii="Times New Roman" w:hAnsi="Times New Roman" w:cs="Times New Roman"/>
          <w:sz w:val="24"/>
          <w:szCs w:val="24"/>
        </w:rPr>
        <w:t>ulaganja u infrastrukturu JANAF-a (1.030.378,78 EUR)</w:t>
      </w:r>
      <w:r w:rsidR="00DF3E73">
        <w:rPr>
          <w:rFonts w:ascii="Times New Roman" w:hAnsi="Times New Roman" w:cs="Times New Roman"/>
          <w:sz w:val="24"/>
          <w:szCs w:val="24"/>
        </w:rPr>
        <w:t xml:space="preserve"> te </w:t>
      </w:r>
      <w:r w:rsidR="00DF3E73" w:rsidRPr="00DF3E73">
        <w:rPr>
          <w:rFonts w:ascii="Times New Roman" w:hAnsi="Times New Roman" w:cs="Times New Roman"/>
          <w:sz w:val="24"/>
          <w:szCs w:val="24"/>
        </w:rPr>
        <w:t xml:space="preserve">u popunu </w:t>
      </w:r>
      <w:proofErr w:type="spellStart"/>
      <w:r w:rsidR="00DF3E73" w:rsidRPr="00DF3E73">
        <w:rPr>
          <w:rFonts w:ascii="Times New Roman" w:hAnsi="Times New Roman" w:cs="Times New Roman"/>
          <w:sz w:val="24"/>
          <w:szCs w:val="24"/>
        </w:rPr>
        <w:t>školjere</w:t>
      </w:r>
      <w:proofErr w:type="spellEnd"/>
      <w:r w:rsidR="00DF3E73" w:rsidRPr="00DF3E73">
        <w:rPr>
          <w:rFonts w:ascii="Times New Roman" w:hAnsi="Times New Roman" w:cs="Times New Roman"/>
          <w:sz w:val="24"/>
          <w:szCs w:val="24"/>
        </w:rPr>
        <w:t xml:space="preserve"> na lukobranu Petrolejske luke Mlaka (996.669,50 EUR)</w:t>
      </w:r>
      <w:r w:rsidR="00DF3E73">
        <w:rPr>
          <w:rFonts w:ascii="Times New Roman" w:hAnsi="Times New Roman" w:cs="Times New Roman"/>
          <w:sz w:val="24"/>
          <w:szCs w:val="24"/>
        </w:rPr>
        <w:t>.</w:t>
      </w:r>
    </w:p>
    <w:p w14:paraId="669ABA4D" w14:textId="1DFB348B" w:rsidR="00172683" w:rsidRDefault="007378A6" w:rsidP="0017268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378A6">
        <w:rPr>
          <w:noProof/>
        </w:rPr>
        <w:drawing>
          <wp:inline distT="0" distB="0" distL="0" distR="0" wp14:anchorId="1CB4469D" wp14:editId="2DC29C84">
            <wp:extent cx="6057900" cy="1470660"/>
            <wp:effectExtent l="0" t="0" r="0" b="0"/>
            <wp:docPr id="13624401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A125C" w14:textId="77777777" w:rsidR="006A7AD0" w:rsidRPr="00614260" w:rsidRDefault="006A7AD0" w:rsidP="000C01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77161">
        <w:rPr>
          <w:rFonts w:ascii="Times New Roman" w:hAnsi="Times New Roman" w:cs="Times New Roman"/>
          <w:b/>
          <w:sz w:val="24"/>
          <w:szCs w:val="24"/>
        </w:rPr>
        <w:t>Patenti, metal i ostale pohranjene vrijednosti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260">
        <w:rPr>
          <w:rFonts w:ascii="Times New Roman" w:hAnsi="Times New Roman" w:cs="Times New Roman"/>
          <w:b/>
          <w:sz w:val="24"/>
          <w:szCs w:val="24"/>
        </w:rPr>
        <w:t>(03)</w:t>
      </w:r>
    </w:p>
    <w:p w14:paraId="26CF2CF7" w14:textId="746BDEAD" w:rsidR="00614260" w:rsidRDefault="00B47161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ovoj poziciji u 202</w:t>
      </w:r>
      <w:r w:rsidR="00C5463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godini nisu evidentirane promjene.</w:t>
      </w:r>
    </w:p>
    <w:p w14:paraId="74FCB587" w14:textId="77777777" w:rsidR="0069302A" w:rsidRPr="00614260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77161">
        <w:rPr>
          <w:rFonts w:ascii="Times New Roman" w:hAnsi="Times New Roman" w:cs="Times New Roman"/>
          <w:b/>
          <w:sz w:val="24"/>
          <w:szCs w:val="24"/>
        </w:rPr>
        <w:t>Dugotrajna nefinancijska imovina u pripremi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260">
        <w:rPr>
          <w:rFonts w:ascii="Times New Roman" w:hAnsi="Times New Roman" w:cs="Times New Roman"/>
          <w:b/>
          <w:sz w:val="24"/>
          <w:szCs w:val="24"/>
        </w:rPr>
        <w:t>(05)</w:t>
      </w:r>
    </w:p>
    <w:p w14:paraId="0EAAC377" w14:textId="36702137" w:rsidR="00081793" w:rsidRDefault="00081793" w:rsidP="000449C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Sažetak promjena iskazanih u 2024. godini na ovoj poziciji pokazuje tablica u nastavku.</w:t>
      </w:r>
    </w:p>
    <w:p w14:paraId="039D6E4D" w14:textId="5C8CA3EB" w:rsidR="003376D5" w:rsidRDefault="006C2F9E" w:rsidP="000449C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6C2F9E">
        <w:rPr>
          <w:noProof/>
        </w:rPr>
        <w:drawing>
          <wp:inline distT="0" distB="0" distL="0" distR="0" wp14:anchorId="5A56620C" wp14:editId="78F735D9">
            <wp:extent cx="6120130" cy="899795"/>
            <wp:effectExtent l="0" t="0" r="0" b="0"/>
            <wp:docPr id="197514276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2A750" w14:textId="69D1A2B3" w:rsidR="001A598F" w:rsidRDefault="00081793" w:rsidP="000449C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081793">
        <w:rPr>
          <w:rFonts w:ascii="Times New Roman" w:hAnsi="Times New Roman" w:cs="Times New Roman"/>
          <w:sz w:val="24"/>
          <w:szCs w:val="24"/>
        </w:rPr>
        <w:t xml:space="preserve">Povećanje pozicije Građevinskih objekata u pripremi (7.898.756,30 EUR) je </w:t>
      </w:r>
      <w:r w:rsidR="00512A52">
        <w:rPr>
          <w:rFonts w:ascii="Times New Roman" w:hAnsi="Times New Roman" w:cs="Times New Roman"/>
          <w:sz w:val="24"/>
          <w:szCs w:val="24"/>
        </w:rPr>
        <w:t>većim dijelom</w:t>
      </w:r>
      <w:r w:rsidRPr="00081793">
        <w:rPr>
          <w:rFonts w:ascii="Times New Roman" w:hAnsi="Times New Roman" w:cs="Times New Roman"/>
          <w:sz w:val="24"/>
          <w:szCs w:val="24"/>
        </w:rPr>
        <w:t xml:space="preserve"> nastalo zbog izvršenih ulaganja u okviru CEF projekata - Unapređenje infrastrukture u luci Rijeka - produbljenje južnog veza AGCT  (POR2CORE - AGCT DREDGING – 3.244.837,24 EUR) i za </w:t>
      </w:r>
      <w:r w:rsidRPr="00081793">
        <w:rPr>
          <w:rFonts w:ascii="Times New Roman" w:hAnsi="Times New Roman" w:cs="Times New Roman"/>
          <w:sz w:val="24"/>
          <w:szCs w:val="24"/>
        </w:rPr>
        <w:lastRenderedPageBreak/>
        <w:t>Studije za nadogradnju  infrastrukture luke Rijeka – Proširenje Praške obale (POR2CORE - PRAGUE PIER EXTENSION – 1.793.662,69 EUR).</w:t>
      </w:r>
      <w:r w:rsidR="001A59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762890" w14:textId="00E98BB9" w:rsidR="00081793" w:rsidRDefault="001A598F" w:rsidP="000449C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m</w:t>
      </w:r>
      <w:r w:rsidR="00081793" w:rsidRPr="00081793">
        <w:rPr>
          <w:rFonts w:ascii="Times New Roman" w:hAnsi="Times New Roman" w:cs="Times New Roman"/>
          <w:sz w:val="24"/>
          <w:szCs w:val="24"/>
        </w:rPr>
        <w:t xml:space="preserve">eđu ulaganjima u ostale građevinske objekte u pripremi u 2024. godini se izdvajaju ulaganja u infrastrukturu JANAF-a (1.030.378,78 EUR), u popunu </w:t>
      </w:r>
      <w:proofErr w:type="spellStart"/>
      <w:r w:rsidR="00081793" w:rsidRPr="00081793">
        <w:rPr>
          <w:rFonts w:ascii="Times New Roman" w:hAnsi="Times New Roman" w:cs="Times New Roman"/>
          <w:sz w:val="24"/>
          <w:szCs w:val="24"/>
        </w:rPr>
        <w:t>školjere</w:t>
      </w:r>
      <w:proofErr w:type="spellEnd"/>
      <w:r w:rsidR="00081793" w:rsidRPr="00081793">
        <w:rPr>
          <w:rFonts w:ascii="Times New Roman" w:hAnsi="Times New Roman" w:cs="Times New Roman"/>
          <w:sz w:val="24"/>
          <w:szCs w:val="24"/>
        </w:rPr>
        <w:t xml:space="preserve"> na lukobranu Petrolejske luke Mlaka (996.669,50 EUR) te za troškove razdvajanja i priključenja na elektroenergetsku distribucijsku mrežu (153.082,81 EUR).</w:t>
      </w:r>
    </w:p>
    <w:p w14:paraId="009B02BE" w14:textId="58EE927A" w:rsidR="006C2F9E" w:rsidRDefault="006C2F9E" w:rsidP="000449C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6C2F9E">
        <w:rPr>
          <w:rFonts w:ascii="Times New Roman" w:hAnsi="Times New Roman" w:cs="Times New Roman"/>
          <w:sz w:val="24"/>
          <w:szCs w:val="24"/>
        </w:rPr>
        <w:t xml:space="preserve">Smanjenje pozicije Građevinskih objekata u pripremi (28.919.634,48 EUR) je u najvećem dijelu posljedica aktiviranja ulaganja u okviru CEF projekta - Unapređenje infrastrukture u luci Rijeka – produbljenje južnog veza AGCT (POR2CORE AGCT DREDGING – 24.129.817,16 EUR).  </w:t>
      </w:r>
    </w:p>
    <w:p w14:paraId="0D379DAD" w14:textId="277F74B2" w:rsidR="006C2F9E" w:rsidRDefault="007B2123" w:rsidP="000449C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</w:t>
      </w:r>
      <w:r w:rsidR="00526E6C">
        <w:rPr>
          <w:rFonts w:ascii="Times New Roman" w:hAnsi="Times New Roman" w:cs="Times New Roman"/>
          <w:sz w:val="24"/>
          <w:szCs w:val="24"/>
        </w:rPr>
        <w:t>tanj</w:t>
      </w:r>
      <w:r>
        <w:rPr>
          <w:rFonts w:ascii="Times New Roman" w:hAnsi="Times New Roman" w:cs="Times New Roman"/>
          <w:sz w:val="24"/>
          <w:szCs w:val="24"/>
        </w:rPr>
        <w:t>u</w:t>
      </w:r>
      <w:r w:rsidR="00526E6C">
        <w:rPr>
          <w:rFonts w:ascii="Times New Roman" w:hAnsi="Times New Roman" w:cs="Times New Roman"/>
          <w:sz w:val="24"/>
          <w:szCs w:val="24"/>
        </w:rPr>
        <w:t xml:space="preserve"> građevinskih objekata u pripremi na kraju 2024. godine (4.280.629,13 EUR) </w:t>
      </w:r>
      <w:r>
        <w:rPr>
          <w:rFonts w:ascii="Times New Roman" w:hAnsi="Times New Roman" w:cs="Times New Roman"/>
          <w:sz w:val="24"/>
          <w:szCs w:val="24"/>
        </w:rPr>
        <w:t xml:space="preserve">najveće učešće imaju </w:t>
      </w:r>
      <w:r w:rsidR="00526E6C">
        <w:rPr>
          <w:rFonts w:ascii="Times New Roman" w:hAnsi="Times New Roman" w:cs="Times New Roman"/>
          <w:sz w:val="24"/>
          <w:szCs w:val="24"/>
        </w:rPr>
        <w:t xml:space="preserve">ulaganja u projektnu dokumentaciju u okviru CEF projekta za </w:t>
      </w:r>
      <w:r w:rsidR="00B96FDE">
        <w:rPr>
          <w:rFonts w:ascii="Times New Roman" w:hAnsi="Times New Roman" w:cs="Times New Roman"/>
          <w:sz w:val="24"/>
          <w:szCs w:val="24"/>
        </w:rPr>
        <w:t>p</w:t>
      </w:r>
      <w:r w:rsidR="00526E6C">
        <w:rPr>
          <w:rFonts w:ascii="Times New Roman" w:hAnsi="Times New Roman" w:cs="Times New Roman"/>
          <w:sz w:val="24"/>
          <w:szCs w:val="24"/>
        </w:rPr>
        <w:t>roširenje Praške obale (2.491.499,30 EUR)</w:t>
      </w:r>
      <w:r w:rsidR="00B96F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D3360" w14:textId="77777777" w:rsidR="006A7AD0" w:rsidRPr="00614260" w:rsidRDefault="006A7AD0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77161">
        <w:rPr>
          <w:rFonts w:ascii="Times New Roman" w:hAnsi="Times New Roman" w:cs="Times New Roman"/>
          <w:b/>
          <w:sz w:val="24"/>
          <w:szCs w:val="24"/>
        </w:rPr>
        <w:t>Proizvedena kratkotrajna imovina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260">
        <w:rPr>
          <w:rFonts w:ascii="Times New Roman" w:hAnsi="Times New Roman" w:cs="Times New Roman"/>
          <w:b/>
          <w:sz w:val="24"/>
          <w:szCs w:val="24"/>
        </w:rPr>
        <w:t>(06)</w:t>
      </w:r>
    </w:p>
    <w:p w14:paraId="2EC8B494" w14:textId="2F9354A6" w:rsidR="00614260" w:rsidRDefault="00E46B61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</w:p>
    <w:p w14:paraId="5EEDC4A4" w14:textId="77777777" w:rsidR="0069302A" w:rsidRPr="00614260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77161">
        <w:rPr>
          <w:rFonts w:ascii="Times New Roman" w:hAnsi="Times New Roman" w:cs="Times New Roman"/>
          <w:b/>
          <w:sz w:val="24"/>
          <w:szCs w:val="24"/>
        </w:rPr>
        <w:t>Novac u</w:t>
      </w:r>
      <w:r w:rsidR="006A7AD0" w:rsidRPr="00277161">
        <w:rPr>
          <w:rFonts w:ascii="Times New Roman" w:hAnsi="Times New Roman" w:cs="Times New Roman"/>
          <w:b/>
          <w:sz w:val="24"/>
          <w:szCs w:val="24"/>
        </w:rPr>
        <w:t xml:space="preserve"> banci,</w:t>
      </w:r>
      <w:r w:rsidRPr="00277161">
        <w:rPr>
          <w:rFonts w:ascii="Times New Roman" w:hAnsi="Times New Roman" w:cs="Times New Roman"/>
          <w:b/>
          <w:sz w:val="24"/>
          <w:szCs w:val="24"/>
        </w:rPr>
        <w:t xml:space="preserve"> blagajni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260">
        <w:rPr>
          <w:rFonts w:ascii="Times New Roman" w:hAnsi="Times New Roman" w:cs="Times New Roman"/>
          <w:b/>
          <w:sz w:val="24"/>
          <w:szCs w:val="24"/>
        </w:rPr>
        <w:t>(11)</w:t>
      </w:r>
    </w:p>
    <w:p w14:paraId="29F91BD6" w14:textId="3EC026BE" w:rsidR="00204FEA" w:rsidRPr="00277161" w:rsidRDefault="00B71E35" w:rsidP="00210E0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277161">
        <w:rPr>
          <w:rFonts w:ascii="Times New Roman" w:hAnsi="Times New Roman" w:cs="Times New Roman"/>
          <w:sz w:val="24"/>
          <w:szCs w:val="24"/>
        </w:rPr>
        <w:t xml:space="preserve">Po transakcijskim računima CEF projekata </w:t>
      </w:r>
      <w:r w:rsidR="00B14607" w:rsidRPr="00277161">
        <w:rPr>
          <w:rFonts w:ascii="Times New Roman" w:hAnsi="Times New Roman" w:cs="Times New Roman"/>
          <w:sz w:val="24"/>
          <w:szCs w:val="24"/>
        </w:rPr>
        <w:t xml:space="preserve">u poslovnoj banci </w:t>
      </w:r>
      <w:r w:rsidR="00204FEA" w:rsidRPr="00277161">
        <w:rPr>
          <w:rFonts w:ascii="Times New Roman" w:hAnsi="Times New Roman" w:cs="Times New Roman"/>
          <w:sz w:val="24"/>
          <w:szCs w:val="24"/>
        </w:rPr>
        <w:t>u 202</w:t>
      </w:r>
      <w:r w:rsidR="00210E08">
        <w:rPr>
          <w:rFonts w:ascii="Times New Roman" w:hAnsi="Times New Roman" w:cs="Times New Roman"/>
          <w:sz w:val="24"/>
          <w:szCs w:val="24"/>
        </w:rPr>
        <w:t>4</w:t>
      </w:r>
      <w:r w:rsidR="00204FEA" w:rsidRPr="00277161">
        <w:rPr>
          <w:rFonts w:ascii="Times New Roman" w:hAnsi="Times New Roman" w:cs="Times New Roman"/>
          <w:sz w:val="24"/>
          <w:szCs w:val="24"/>
        </w:rPr>
        <w:t xml:space="preserve">. godini </w:t>
      </w:r>
      <w:r w:rsidR="00B14607" w:rsidRPr="00277161">
        <w:rPr>
          <w:rFonts w:ascii="Times New Roman" w:hAnsi="Times New Roman" w:cs="Times New Roman"/>
          <w:sz w:val="24"/>
          <w:szCs w:val="24"/>
        </w:rPr>
        <w:t xml:space="preserve">je </w:t>
      </w:r>
      <w:r w:rsidRPr="00277161">
        <w:rPr>
          <w:rFonts w:ascii="Times New Roman" w:hAnsi="Times New Roman" w:cs="Times New Roman"/>
          <w:sz w:val="24"/>
          <w:szCs w:val="24"/>
        </w:rPr>
        <w:t xml:space="preserve">ostvaren promet od </w:t>
      </w:r>
      <w:r w:rsidR="00210E08">
        <w:rPr>
          <w:rFonts w:ascii="Times New Roman" w:hAnsi="Times New Roman" w:cs="Times New Roman"/>
          <w:sz w:val="24"/>
          <w:szCs w:val="24"/>
        </w:rPr>
        <w:t xml:space="preserve">17.619.512,36 </w:t>
      </w:r>
      <w:r w:rsidRPr="00277161">
        <w:rPr>
          <w:rFonts w:ascii="Times New Roman" w:hAnsi="Times New Roman" w:cs="Times New Roman"/>
          <w:sz w:val="24"/>
          <w:szCs w:val="24"/>
        </w:rPr>
        <w:t>EUR</w:t>
      </w:r>
      <w:r w:rsidR="00B14607" w:rsidRPr="00277161">
        <w:rPr>
          <w:rFonts w:ascii="Times New Roman" w:hAnsi="Times New Roman" w:cs="Times New Roman"/>
          <w:sz w:val="24"/>
          <w:szCs w:val="24"/>
        </w:rPr>
        <w:t xml:space="preserve"> (priljev iz CEF-a za projekte Bazen Rijeka</w:t>
      </w:r>
      <w:r w:rsidR="00210E08">
        <w:rPr>
          <w:rFonts w:ascii="Times New Roman" w:hAnsi="Times New Roman" w:cs="Times New Roman"/>
          <w:sz w:val="24"/>
          <w:szCs w:val="24"/>
        </w:rPr>
        <w:t>, PCS i ZCT)</w:t>
      </w:r>
      <w:r w:rsidR="00EA2B38">
        <w:rPr>
          <w:rFonts w:ascii="Times New Roman" w:hAnsi="Times New Roman" w:cs="Times New Roman"/>
          <w:sz w:val="24"/>
          <w:szCs w:val="24"/>
        </w:rPr>
        <w:t>.</w:t>
      </w:r>
      <w:r w:rsidR="00204FEA" w:rsidRPr="00277161">
        <w:rPr>
          <w:rFonts w:ascii="Times New Roman" w:hAnsi="Times New Roman" w:cs="Times New Roman"/>
          <w:sz w:val="24"/>
          <w:szCs w:val="24"/>
        </w:rPr>
        <w:t xml:space="preserve"> </w:t>
      </w:r>
      <w:r w:rsidR="00B14607" w:rsidRPr="00277161">
        <w:rPr>
          <w:rFonts w:ascii="Times New Roman" w:hAnsi="Times New Roman" w:cs="Times New Roman"/>
          <w:sz w:val="24"/>
          <w:szCs w:val="24"/>
        </w:rPr>
        <w:t>S</w:t>
      </w:r>
      <w:r w:rsidRPr="00277161">
        <w:rPr>
          <w:rFonts w:ascii="Times New Roman" w:hAnsi="Times New Roman" w:cs="Times New Roman"/>
          <w:sz w:val="24"/>
          <w:szCs w:val="24"/>
        </w:rPr>
        <w:t xml:space="preserve">tanje na </w:t>
      </w:r>
      <w:r w:rsidR="00204FEA" w:rsidRPr="00277161">
        <w:rPr>
          <w:rFonts w:ascii="Times New Roman" w:hAnsi="Times New Roman" w:cs="Times New Roman"/>
          <w:sz w:val="24"/>
          <w:szCs w:val="24"/>
        </w:rPr>
        <w:t xml:space="preserve">dan </w:t>
      </w:r>
      <w:r w:rsidRPr="00277161">
        <w:rPr>
          <w:rFonts w:ascii="Times New Roman" w:hAnsi="Times New Roman" w:cs="Times New Roman"/>
          <w:sz w:val="24"/>
          <w:szCs w:val="24"/>
        </w:rPr>
        <w:t>31.12.202</w:t>
      </w:r>
      <w:r w:rsidR="00210E08">
        <w:rPr>
          <w:rFonts w:ascii="Times New Roman" w:hAnsi="Times New Roman" w:cs="Times New Roman"/>
          <w:sz w:val="24"/>
          <w:szCs w:val="24"/>
        </w:rPr>
        <w:t>4.</w:t>
      </w:r>
      <w:r w:rsidRPr="00277161">
        <w:rPr>
          <w:rFonts w:ascii="Times New Roman" w:hAnsi="Times New Roman" w:cs="Times New Roman"/>
          <w:sz w:val="24"/>
          <w:szCs w:val="24"/>
        </w:rPr>
        <w:t xml:space="preserve"> </w:t>
      </w:r>
      <w:r w:rsidR="00204FEA" w:rsidRPr="00277161">
        <w:rPr>
          <w:rFonts w:ascii="Times New Roman" w:hAnsi="Times New Roman" w:cs="Times New Roman"/>
          <w:sz w:val="24"/>
          <w:szCs w:val="24"/>
        </w:rPr>
        <w:t xml:space="preserve">godine po tim računima </w:t>
      </w:r>
      <w:r w:rsidRPr="00277161">
        <w:rPr>
          <w:rFonts w:ascii="Times New Roman" w:hAnsi="Times New Roman" w:cs="Times New Roman"/>
          <w:sz w:val="24"/>
          <w:szCs w:val="24"/>
        </w:rPr>
        <w:t xml:space="preserve">iznosi 0,00 EUR. </w:t>
      </w:r>
    </w:p>
    <w:p w14:paraId="38134539" w14:textId="30B5C631" w:rsidR="00204FEA" w:rsidRPr="00277161" w:rsidRDefault="00B71E35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277161">
        <w:rPr>
          <w:rFonts w:ascii="Times New Roman" w:hAnsi="Times New Roman" w:cs="Times New Roman"/>
          <w:sz w:val="24"/>
          <w:szCs w:val="24"/>
        </w:rPr>
        <w:t xml:space="preserve">Na računu otvorenom kod FINE </w:t>
      </w:r>
      <w:r w:rsidR="008B288F" w:rsidRPr="00277161">
        <w:rPr>
          <w:rFonts w:ascii="Times New Roman" w:hAnsi="Times New Roman" w:cs="Times New Roman"/>
          <w:sz w:val="24"/>
          <w:szCs w:val="24"/>
        </w:rPr>
        <w:t>u 202</w:t>
      </w:r>
      <w:r w:rsidR="00210E08">
        <w:rPr>
          <w:rFonts w:ascii="Times New Roman" w:hAnsi="Times New Roman" w:cs="Times New Roman"/>
          <w:sz w:val="24"/>
          <w:szCs w:val="24"/>
        </w:rPr>
        <w:t>4</w:t>
      </w:r>
      <w:r w:rsidR="008B288F" w:rsidRPr="00277161">
        <w:rPr>
          <w:rFonts w:ascii="Times New Roman" w:hAnsi="Times New Roman" w:cs="Times New Roman"/>
          <w:sz w:val="24"/>
          <w:szCs w:val="24"/>
        </w:rPr>
        <w:t xml:space="preserve">. godini je </w:t>
      </w:r>
      <w:r w:rsidRPr="00277161">
        <w:rPr>
          <w:rFonts w:ascii="Times New Roman" w:hAnsi="Times New Roman" w:cs="Times New Roman"/>
          <w:sz w:val="24"/>
          <w:szCs w:val="24"/>
        </w:rPr>
        <w:t>ostvaren promet od 4.</w:t>
      </w:r>
      <w:r w:rsidR="00EA2B38">
        <w:rPr>
          <w:rFonts w:ascii="Times New Roman" w:hAnsi="Times New Roman" w:cs="Times New Roman"/>
          <w:sz w:val="24"/>
          <w:szCs w:val="24"/>
        </w:rPr>
        <w:t>281.814,48</w:t>
      </w:r>
      <w:r w:rsidRPr="00277161">
        <w:rPr>
          <w:rFonts w:ascii="Times New Roman" w:hAnsi="Times New Roman" w:cs="Times New Roman"/>
          <w:sz w:val="24"/>
          <w:szCs w:val="24"/>
        </w:rPr>
        <w:t xml:space="preserve"> EUR, </w:t>
      </w:r>
      <w:r w:rsidR="00204FEA" w:rsidRPr="00277161">
        <w:rPr>
          <w:rFonts w:ascii="Times New Roman" w:hAnsi="Times New Roman" w:cs="Times New Roman"/>
          <w:sz w:val="24"/>
          <w:szCs w:val="24"/>
        </w:rPr>
        <w:t>a</w:t>
      </w:r>
      <w:r w:rsidRPr="00277161">
        <w:rPr>
          <w:rFonts w:ascii="Times New Roman" w:hAnsi="Times New Roman" w:cs="Times New Roman"/>
          <w:sz w:val="24"/>
          <w:szCs w:val="24"/>
        </w:rPr>
        <w:t xml:space="preserve"> stanje na</w:t>
      </w:r>
      <w:r w:rsidR="00204FEA" w:rsidRPr="00277161">
        <w:rPr>
          <w:rFonts w:ascii="Times New Roman" w:hAnsi="Times New Roman" w:cs="Times New Roman"/>
          <w:sz w:val="24"/>
          <w:szCs w:val="24"/>
        </w:rPr>
        <w:t xml:space="preserve"> dan </w:t>
      </w:r>
      <w:r w:rsidRPr="00277161">
        <w:rPr>
          <w:rFonts w:ascii="Times New Roman" w:hAnsi="Times New Roman" w:cs="Times New Roman"/>
          <w:sz w:val="24"/>
          <w:szCs w:val="24"/>
        </w:rPr>
        <w:t xml:space="preserve"> 31.12.202</w:t>
      </w:r>
      <w:r w:rsidR="00EA2B38">
        <w:rPr>
          <w:rFonts w:ascii="Times New Roman" w:hAnsi="Times New Roman" w:cs="Times New Roman"/>
          <w:sz w:val="24"/>
          <w:szCs w:val="24"/>
        </w:rPr>
        <w:t>4</w:t>
      </w:r>
      <w:r w:rsidRPr="00277161">
        <w:rPr>
          <w:rFonts w:ascii="Times New Roman" w:hAnsi="Times New Roman" w:cs="Times New Roman"/>
          <w:sz w:val="24"/>
          <w:szCs w:val="24"/>
        </w:rPr>
        <w:t xml:space="preserve">. </w:t>
      </w:r>
      <w:r w:rsidR="00204FEA" w:rsidRPr="00277161">
        <w:rPr>
          <w:rFonts w:ascii="Times New Roman" w:hAnsi="Times New Roman" w:cs="Times New Roman"/>
          <w:sz w:val="24"/>
          <w:szCs w:val="24"/>
        </w:rPr>
        <w:t xml:space="preserve">godine </w:t>
      </w:r>
      <w:r w:rsidRPr="00277161">
        <w:rPr>
          <w:rFonts w:ascii="Times New Roman" w:hAnsi="Times New Roman" w:cs="Times New Roman"/>
          <w:sz w:val="24"/>
          <w:szCs w:val="24"/>
        </w:rPr>
        <w:t xml:space="preserve">iznosi 0,00 EUR. </w:t>
      </w:r>
    </w:p>
    <w:p w14:paraId="5870C790" w14:textId="77BBE9C0" w:rsidR="00614260" w:rsidRPr="00277161" w:rsidRDefault="00277161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277161">
        <w:rPr>
          <w:rFonts w:ascii="Times New Roman" w:hAnsi="Times New Roman" w:cs="Times New Roman"/>
          <w:sz w:val="24"/>
          <w:szCs w:val="24"/>
        </w:rPr>
        <w:t>S</w:t>
      </w:r>
      <w:r w:rsidR="00B71E35" w:rsidRPr="00277161">
        <w:rPr>
          <w:rFonts w:ascii="Times New Roman" w:hAnsi="Times New Roman" w:cs="Times New Roman"/>
          <w:sz w:val="24"/>
          <w:szCs w:val="24"/>
        </w:rPr>
        <w:t>tanje na</w:t>
      </w:r>
      <w:r w:rsidR="00204FEA" w:rsidRPr="00277161">
        <w:rPr>
          <w:rFonts w:ascii="Times New Roman" w:hAnsi="Times New Roman" w:cs="Times New Roman"/>
          <w:sz w:val="24"/>
          <w:szCs w:val="24"/>
        </w:rPr>
        <w:t xml:space="preserve"> dan</w:t>
      </w:r>
      <w:r w:rsidR="00B71E35" w:rsidRPr="00277161">
        <w:rPr>
          <w:rFonts w:ascii="Times New Roman" w:hAnsi="Times New Roman" w:cs="Times New Roman"/>
          <w:sz w:val="24"/>
          <w:szCs w:val="24"/>
        </w:rPr>
        <w:t xml:space="preserve"> 31.12.202</w:t>
      </w:r>
      <w:r w:rsidR="00EA2B38">
        <w:rPr>
          <w:rFonts w:ascii="Times New Roman" w:hAnsi="Times New Roman" w:cs="Times New Roman"/>
          <w:sz w:val="24"/>
          <w:szCs w:val="24"/>
        </w:rPr>
        <w:t>4</w:t>
      </w:r>
      <w:r w:rsidR="00B71E35" w:rsidRPr="00277161">
        <w:rPr>
          <w:rFonts w:ascii="Times New Roman" w:hAnsi="Times New Roman" w:cs="Times New Roman"/>
          <w:sz w:val="24"/>
          <w:szCs w:val="24"/>
        </w:rPr>
        <w:t>.</w:t>
      </w:r>
      <w:r w:rsidR="00204FEA" w:rsidRPr="00277161">
        <w:rPr>
          <w:rFonts w:ascii="Times New Roman" w:hAnsi="Times New Roman" w:cs="Times New Roman"/>
          <w:sz w:val="24"/>
          <w:szCs w:val="24"/>
        </w:rPr>
        <w:t xml:space="preserve"> godine</w:t>
      </w:r>
      <w:r w:rsidR="00B71E35" w:rsidRPr="00277161">
        <w:rPr>
          <w:rFonts w:ascii="Times New Roman" w:hAnsi="Times New Roman" w:cs="Times New Roman"/>
          <w:sz w:val="24"/>
          <w:szCs w:val="24"/>
        </w:rPr>
        <w:t xml:space="preserve"> na </w:t>
      </w:r>
      <w:r w:rsidR="00EA2B38">
        <w:rPr>
          <w:rFonts w:ascii="Times New Roman" w:hAnsi="Times New Roman" w:cs="Times New Roman"/>
          <w:sz w:val="24"/>
          <w:szCs w:val="24"/>
        </w:rPr>
        <w:t>prijelazn</w:t>
      </w:r>
      <w:r w:rsidR="00512472">
        <w:rPr>
          <w:rFonts w:ascii="Times New Roman" w:hAnsi="Times New Roman" w:cs="Times New Roman"/>
          <w:sz w:val="24"/>
          <w:szCs w:val="24"/>
        </w:rPr>
        <w:t>im</w:t>
      </w:r>
      <w:r w:rsidR="00EA2B38">
        <w:rPr>
          <w:rFonts w:ascii="Times New Roman" w:hAnsi="Times New Roman" w:cs="Times New Roman"/>
          <w:sz w:val="24"/>
          <w:szCs w:val="24"/>
        </w:rPr>
        <w:t xml:space="preserve"> </w:t>
      </w:r>
      <w:r w:rsidR="00B71E35" w:rsidRPr="00277161">
        <w:rPr>
          <w:rFonts w:ascii="Times New Roman" w:hAnsi="Times New Roman" w:cs="Times New Roman"/>
          <w:sz w:val="24"/>
          <w:szCs w:val="24"/>
        </w:rPr>
        <w:t>račun</w:t>
      </w:r>
      <w:r w:rsidR="00512472">
        <w:rPr>
          <w:rFonts w:ascii="Times New Roman" w:hAnsi="Times New Roman" w:cs="Times New Roman"/>
          <w:sz w:val="24"/>
          <w:szCs w:val="24"/>
        </w:rPr>
        <w:t xml:space="preserve">ima </w:t>
      </w:r>
      <w:r w:rsidR="00204FEA" w:rsidRPr="00277161">
        <w:rPr>
          <w:rFonts w:ascii="Times New Roman" w:hAnsi="Times New Roman" w:cs="Times New Roman"/>
          <w:sz w:val="24"/>
          <w:szCs w:val="24"/>
        </w:rPr>
        <w:t>iznosi</w:t>
      </w:r>
      <w:r w:rsidR="00B71E35" w:rsidRPr="00277161">
        <w:rPr>
          <w:rFonts w:ascii="Times New Roman" w:hAnsi="Times New Roman" w:cs="Times New Roman"/>
          <w:sz w:val="24"/>
          <w:szCs w:val="24"/>
        </w:rPr>
        <w:t xml:space="preserve"> </w:t>
      </w:r>
      <w:r w:rsidR="00512472">
        <w:rPr>
          <w:rFonts w:ascii="Times New Roman" w:hAnsi="Times New Roman" w:cs="Times New Roman"/>
          <w:sz w:val="24"/>
          <w:szCs w:val="24"/>
        </w:rPr>
        <w:t xml:space="preserve">0,00 </w:t>
      </w:r>
      <w:r w:rsidR="00B71E35" w:rsidRPr="00277161">
        <w:rPr>
          <w:rFonts w:ascii="Times New Roman" w:hAnsi="Times New Roman" w:cs="Times New Roman"/>
          <w:sz w:val="24"/>
          <w:szCs w:val="24"/>
        </w:rPr>
        <w:t>EUR.</w:t>
      </w:r>
    </w:p>
    <w:p w14:paraId="79A4BE52" w14:textId="77777777" w:rsidR="0069302A" w:rsidRPr="00343B29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43B29">
        <w:rPr>
          <w:rFonts w:ascii="Times New Roman" w:hAnsi="Times New Roman" w:cs="Times New Roman"/>
          <w:b/>
          <w:sz w:val="24"/>
          <w:szCs w:val="24"/>
        </w:rPr>
        <w:t xml:space="preserve">Depoziti, </w:t>
      </w:r>
      <w:proofErr w:type="spellStart"/>
      <w:r w:rsidRPr="00343B29">
        <w:rPr>
          <w:rFonts w:ascii="Times New Roman" w:hAnsi="Times New Roman" w:cs="Times New Roman"/>
          <w:b/>
          <w:sz w:val="24"/>
          <w:szCs w:val="24"/>
        </w:rPr>
        <w:t>jamčevni</w:t>
      </w:r>
      <w:proofErr w:type="spellEnd"/>
      <w:r w:rsidRPr="00343B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3B29">
        <w:rPr>
          <w:rFonts w:ascii="Times New Roman" w:hAnsi="Times New Roman" w:cs="Times New Roman"/>
          <w:b/>
          <w:sz w:val="24"/>
          <w:szCs w:val="24"/>
        </w:rPr>
        <w:t>polozi</w:t>
      </w:r>
      <w:proofErr w:type="spellEnd"/>
      <w:r w:rsidRPr="00343B29">
        <w:rPr>
          <w:rFonts w:ascii="Times New Roman" w:hAnsi="Times New Roman" w:cs="Times New Roman"/>
          <w:b/>
          <w:sz w:val="24"/>
          <w:szCs w:val="24"/>
        </w:rPr>
        <w:t xml:space="preserve"> i potraživanja od zaposlenih te za više plaćene poreze i ostalo</w:t>
      </w:r>
      <w:r w:rsidRPr="00343B29">
        <w:rPr>
          <w:rFonts w:ascii="Times New Roman" w:hAnsi="Times New Roman" w:cs="Times New Roman"/>
          <w:sz w:val="24"/>
          <w:szCs w:val="24"/>
        </w:rPr>
        <w:t xml:space="preserve"> </w:t>
      </w:r>
      <w:r w:rsidRPr="00343B29">
        <w:rPr>
          <w:rFonts w:ascii="Times New Roman" w:hAnsi="Times New Roman" w:cs="Times New Roman"/>
          <w:b/>
          <w:sz w:val="24"/>
          <w:szCs w:val="24"/>
        </w:rPr>
        <w:t>(12)</w:t>
      </w:r>
    </w:p>
    <w:p w14:paraId="14EF4207" w14:textId="5B8D6FFD" w:rsidR="00BC5FBD" w:rsidRDefault="00BC5FBD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343B2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 su evidentirane promjene </w:t>
      </w:r>
      <w:r w:rsidR="009E2DE1">
        <w:rPr>
          <w:rFonts w:ascii="Times New Roman" w:hAnsi="Times New Roman" w:cs="Times New Roman"/>
          <w:sz w:val="24"/>
          <w:szCs w:val="24"/>
        </w:rPr>
        <w:t xml:space="preserve">koje se uglavnom </w:t>
      </w:r>
      <w:r>
        <w:rPr>
          <w:rFonts w:ascii="Times New Roman" w:hAnsi="Times New Roman" w:cs="Times New Roman"/>
          <w:sz w:val="24"/>
          <w:szCs w:val="24"/>
        </w:rPr>
        <w:t xml:space="preserve">odnose na potraživanja </w:t>
      </w:r>
      <w:r w:rsidR="00343B29">
        <w:rPr>
          <w:rFonts w:ascii="Times New Roman" w:hAnsi="Times New Roman" w:cs="Times New Roman"/>
          <w:sz w:val="24"/>
          <w:szCs w:val="24"/>
        </w:rPr>
        <w:t xml:space="preserve">za pretporez kod obveznika PDV-a i </w:t>
      </w:r>
      <w:r>
        <w:rPr>
          <w:rFonts w:ascii="Times New Roman" w:hAnsi="Times New Roman" w:cs="Times New Roman"/>
          <w:sz w:val="24"/>
          <w:szCs w:val="24"/>
        </w:rPr>
        <w:t>za naknade koje se refundiraju iz HZZO-a</w:t>
      </w:r>
      <w:r w:rsidR="00343B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9C4CF39" w14:textId="38792D40" w:rsidR="00614260" w:rsidRPr="00614260" w:rsidRDefault="00343B29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343B29">
        <w:rPr>
          <w:noProof/>
        </w:rPr>
        <w:drawing>
          <wp:inline distT="0" distB="0" distL="0" distR="0" wp14:anchorId="5E9F87ED" wp14:editId="7EA5C4BB">
            <wp:extent cx="5212080" cy="1287780"/>
            <wp:effectExtent l="0" t="0" r="7620" b="7620"/>
            <wp:docPr id="21310300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E9EE3" w14:textId="77777777" w:rsidR="0069302A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7161">
        <w:rPr>
          <w:rFonts w:ascii="Times New Roman" w:hAnsi="Times New Roman" w:cs="Times New Roman"/>
          <w:b/>
          <w:sz w:val="24"/>
          <w:szCs w:val="24"/>
        </w:rPr>
        <w:t>Potraživanja za dane zajmove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9D7">
        <w:rPr>
          <w:rFonts w:ascii="Times New Roman" w:hAnsi="Times New Roman" w:cs="Times New Roman"/>
          <w:b/>
          <w:sz w:val="24"/>
          <w:szCs w:val="24"/>
        </w:rPr>
        <w:t>(13)</w:t>
      </w:r>
    </w:p>
    <w:p w14:paraId="39325ADC" w14:textId="77777777" w:rsidR="00614260" w:rsidRDefault="00677FCB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</w:p>
    <w:p w14:paraId="7FB64534" w14:textId="77777777" w:rsidR="0069302A" w:rsidRPr="00D649D7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77161">
        <w:rPr>
          <w:rFonts w:ascii="Times New Roman" w:hAnsi="Times New Roman" w:cs="Times New Roman"/>
          <w:b/>
          <w:sz w:val="24"/>
          <w:szCs w:val="24"/>
        </w:rPr>
        <w:t>Vrijednosni papiri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9D7">
        <w:rPr>
          <w:rFonts w:ascii="Times New Roman" w:hAnsi="Times New Roman" w:cs="Times New Roman"/>
          <w:b/>
          <w:sz w:val="24"/>
          <w:szCs w:val="24"/>
        </w:rPr>
        <w:t>(14)</w:t>
      </w:r>
    </w:p>
    <w:p w14:paraId="0E89CE29" w14:textId="77777777" w:rsidR="00614260" w:rsidRDefault="00677FCB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</w:p>
    <w:p w14:paraId="165203EE" w14:textId="77777777" w:rsidR="0069302A" w:rsidRPr="00D649D7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77161">
        <w:rPr>
          <w:rFonts w:ascii="Times New Roman" w:hAnsi="Times New Roman" w:cs="Times New Roman"/>
          <w:b/>
          <w:sz w:val="24"/>
          <w:szCs w:val="24"/>
        </w:rPr>
        <w:t>Dionice i udjeli u glavnici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9D7">
        <w:rPr>
          <w:rFonts w:ascii="Times New Roman" w:hAnsi="Times New Roman" w:cs="Times New Roman"/>
          <w:b/>
          <w:sz w:val="24"/>
          <w:szCs w:val="24"/>
        </w:rPr>
        <w:t>(15)</w:t>
      </w:r>
    </w:p>
    <w:p w14:paraId="636D6C3E" w14:textId="77777777" w:rsidR="00614260" w:rsidRDefault="00677FCB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</w:t>
      </w:r>
    </w:p>
    <w:p w14:paraId="2D4291FF" w14:textId="77777777" w:rsidR="0069302A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7161">
        <w:rPr>
          <w:rFonts w:ascii="Times New Roman" w:hAnsi="Times New Roman" w:cs="Times New Roman"/>
          <w:b/>
          <w:sz w:val="24"/>
          <w:szCs w:val="24"/>
        </w:rPr>
        <w:t>Potraživanja za prihode poslovanja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9D7">
        <w:rPr>
          <w:rFonts w:ascii="Times New Roman" w:hAnsi="Times New Roman" w:cs="Times New Roman"/>
          <w:b/>
          <w:sz w:val="24"/>
          <w:szCs w:val="24"/>
        </w:rPr>
        <w:t>(16)</w:t>
      </w:r>
    </w:p>
    <w:p w14:paraId="6DE7ACD7" w14:textId="2DD8E04F" w:rsidR="00673343" w:rsidRPr="00673343" w:rsidRDefault="00A925CA" w:rsidP="00A925C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Sažeti pregled promjena </w:t>
      </w:r>
      <w:r w:rsidRPr="00A925CA">
        <w:rPr>
          <w:rFonts w:ascii="Times New Roman" w:hAnsi="Times New Roman" w:cs="Times New Roman"/>
          <w:sz w:val="24"/>
          <w:szCs w:val="24"/>
        </w:rPr>
        <w:t xml:space="preserve">na ovoj poziciji </w:t>
      </w:r>
      <w:r>
        <w:rPr>
          <w:rFonts w:ascii="Times New Roman" w:hAnsi="Times New Roman" w:cs="Times New Roman"/>
          <w:sz w:val="24"/>
          <w:szCs w:val="24"/>
        </w:rPr>
        <w:t>u 202</w:t>
      </w:r>
      <w:r w:rsidR="00C501C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 daje tablica u nastavku. </w:t>
      </w:r>
      <w:r w:rsidR="006733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E9FB3" w14:textId="0C32AD52" w:rsidR="001E48F6" w:rsidRDefault="000048B5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0048B5">
        <w:rPr>
          <w:noProof/>
        </w:rPr>
        <w:drawing>
          <wp:inline distT="0" distB="0" distL="0" distR="0" wp14:anchorId="01991CC0" wp14:editId="6CCDBC35">
            <wp:extent cx="6120130" cy="1802130"/>
            <wp:effectExtent l="0" t="0" r="0" b="7620"/>
            <wp:docPr id="4780959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18FEF" w14:textId="3FCCEE70" w:rsidR="00614260" w:rsidRDefault="00CE5B75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s</w:t>
      </w:r>
      <w:r w:rsidR="00A925CA" w:rsidRPr="00A925CA">
        <w:rPr>
          <w:rFonts w:ascii="Times New Roman" w:hAnsi="Times New Roman" w:cs="Times New Roman"/>
          <w:sz w:val="24"/>
          <w:szCs w:val="24"/>
        </w:rPr>
        <w:t>tanje potraživanja za prihode poslovanja na kraju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A925CA" w:rsidRPr="00A925CA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>povećano</w:t>
      </w:r>
      <w:r w:rsidR="00A925CA" w:rsidRPr="00A925CA">
        <w:rPr>
          <w:rFonts w:ascii="Times New Roman" w:hAnsi="Times New Roman" w:cs="Times New Roman"/>
          <w:sz w:val="24"/>
          <w:szCs w:val="24"/>
        </w:rPr>
        <w:t xml:space="preserve"> je u odnosu na početno stanje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512A52">
        <w:rPr>
          <w:rFonts w:ascii="Times New Roman" w:hAnsi="Times New Roman" w:cs="Times New Roman"/>
          <w:sz w:val="24"/>
          <w:szCs w:val="24"/>
        </w:rPr>
        <w:t xml:space="preserve"> uglavnom je</w:t>
      </w:r>
      <w:r>
        <w:rPr>
          <w:rFonts w:ascii="Times New Roman" w:hAnsi="Times New Roman" w:cs="Times New Roman"/>
          <w:sz w:val="24"/>
          <w:szCs w:val="24"/>
        </w:rPr>
        <w:t xml:space="preserve"> rezultat povećanja </w:t>
      </w:r>
      <w:r w:rsidR="00A925CA" w:rsidRPr="00A925CA">
        <w:rPr>
          <w:rFonts w:ascii="Times New Roman" w:hAnsi="Times New Roman" w:cs="Times New Roman"/>
          <w:sz w:val="24"/>
          <w:szCs w:val="24"/>
        </w:rPr>
        <w:t>(</w:t>
      </w:r>
      <w:r w:rsidRPr="00CE5B7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5B75">
        <w:rPr>
          <w:rFonts w:ascii="Times New Roman" w:hAnsi="Times New Roman" w:cs="Times New Roman"/>
          <w:sz w:val="24"/>
          <w:szCs w:val="24"/>
        </w:rPr>
        <w:t>440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5B75">
        <w:rPr>
          <w:rFonts w:ascii="Times New Roman" w:hAnsi="Times New Roman" w:cs="Times New Roman"/>
          <w:sz w:val="24"/>
          <w:szCs w:val="24"/>
        </w:rPr>
        <w:t>991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5B75">
        <w:rPr>
          <w:rFonts w:ascii="Times New Roman" w:hAnsi="Times New Roman" w:cs="Times New Roman"/>
          <w:sz w:val="24"/>
          <w:szCs w:val="24"/>
        </w:rPr>
        <w:t xml:space="preserve">23 </w:t>
      </w:r>
      <w:r w:rsidR="00A925CA" w:rsidRPr="00A925CA">
        <w:rPr>
          <w:rFonts w:ascii="Times New Roman" w:hAnsi="Times New Roman" w:cs="Times New Roman"/>
          <w:sz w:val="24"/>
          <w:szCs w:val="24"/>
        </w:rPr>
        <w:t xml:space="preserve">EUR)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A925CA" w:rsidRPr="00A925CA">
        <w:rPr>
          <w:rFonts w:ascii="Times New Roman" w:hAnsi="Times New Roman" w:cs="Times New Roman"/>
          <w:sz w:val="24"/>
          <w:szCs w:val="24"/>
        </w:rPr>
        <w:t>poziciji potraživanja za sredstv</w:t>
      </w:r>
      <w:r w:rsidR="009D5DD0">
        <w:rPr>
          <w:rFonts w:ascii="Times New Roman" w:hAnsi="Times New Roman" w:cs="Times New Roman"/>
          <w:sz w:val="24"/>
          <w:szCs w:val="24"/>
        </w:rPr>
        <w:t xml:space="preserve">a uplaćena u nadležni proračun. </w:t>
      </w:r>
      <w:r w:rsidR="009D5DD0" w:rsidRPr="00A44DCE">
        <w:rPr>
          <w:rFonts w:ascii="Times New Roman" w:hAnsi="Times New Roman" w:cs="Times New Roman"/>
          <w:sz w:val="24"/>
          <w:szCs w:val="24"/>
        </w:rPr>
        <w:t>Stanje na toj poziciji na kraju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9D5DD0" w:rsidRPr="00A44DCE">
        <w:rPr>
          <w:rFonts w:ascii="Times New Roman" w:hAnsi="Times New Roman" w:cs="Times New Roman"/>
          <w:sz w:val="24"/>
          <w:szCs w:val="24"/>
        </w:rPr>
        <w:t>. godine raspo</w:t>
      </w:r>
      <w:r w:rsidR="009D5DD0">
        <w:rPr>
          <w:rFonts w:ascii="Times New Roman" w:hAnsi="Times New Roman" w:cs="Times New Roman"/>
          <w:sz w:val="24"/>
          <w:szCs w:val="24"/>
        </w:rPr>
        <w:t xml:space="preserve">ređeno po izvorima financiranja izgleda kako slijedi: </w:t>
      </w:r>
    </w:p>
    <w:p w14:paraId="40E433AC" w14:textId="688C259B" w:rsidR="00C15E34" w:rsidRDefault="0040230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402300">
        <w:rPr>
          <w:noProof/>
        </w:rPr>
        <w:drawing>
          <wp:inline distT="0" distB="0" distL="0" distR="0" wp14:anchorId="4915BCDE" wp14:editId="42C3B1E3">
            <wp:extent cx="2308860" cy="1859280"/>
            <wp:effectExtent l="0" t="0" r="0" b="7620"/>
            <wp:docPr id="20719658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A3141" w14:textId="0025B36E" w:rsidR="00A925CA" w:rsidRDefault="00023401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023401">
        <w:rPr>
          <w:rFonts w:ascii="Times New Roman" w:hAnsi="Times New Roman" w:cs="Times New Roman"/>
          <w:sz w:val="24"/>
          <w:szCs w:val="24"/>
        </w:rPr>
        <w:t>Potraživanja za pomoći iz inozemstva i od subjekata unutar općeg proračuna se</w:t>
      </w:r>
      <w:r w:rsidR="007C6814">
        <w:rPr>
          <w:rFonts w:ascii="Times New Roman" w:hAnsi="Times New Roman" w:cs="Times New Roman"/>
          <w:sz w:val="24"/>
          <w:szCs w:val="24"/>
        </w:rPr>
        <w:t xml:space="preserve"> prema stanju na kraju 202</w:t>
      </w:r>
      <w:r w:rsidR="00402300">
        <w:rPr>
          <w:rFonts w:ascii="Times New Roman" w:hAnsi="Times New Roman" w:cs="Times New Roman"/>
          <w:sz w:val="24"/>
          <w:szCs w:val="24"/>
        </w:rPr>
        <w:t>4</w:t>
      </w:r>
      <w:r w:rsidR="007C6814">
        <w:rPr>
          <w:rFonts w:ascii="Times New Roman" w:hAnsi="Times New Roman" w:cs="Times New Roman"/>
          <w:sz w:val="24"/>
          <w:szCs w:val="24"/>
        </w:rPr>
        <w:t xml:space="preserve">. godine </w:t>
      </w:r>
      <w:r w:rsidRPr="00023401">
        <w:rPr>
          <w:rFonts w:ascii="Times New Roman" w:hAnsi="Times New Roman" w:cs="Times New Roman"/>
          <w:sz w:val="24"/>
          <w:szCs w:val="24"/>
        </w:rPr>
        <w:t xml:space="preserve">odnose na sljedeće </w:t>
      </w:r>
      <w:r w:rsidRPr="00967016">
        <w:rPr>
          <w:rFonts w:ascii="Times New Roman" w:hAnsi="Times New Roman" w:cs="Times New Roman"/>
          <w:sz w:val="24"/>
          <w:szCs w:val="24"/>
        </w:rPr>
        <w:t>projekte</w:t>
      </w:r>
      <w:r w:rsidR="000B19EF" w:rsidRPr="00967016">
        <w:rPr>
          <w:rFonts w:ascii="Times New Roman" w:hAnsi="Times New Roman" w:cs="Times New Roman"/>
          <w:sz w:val="24"/>
          <w:szCs w:val="24"/>
        </w:rPr>
        <w:t xml:space="preserve"> (izvor financiranja 559)</w:t>
      </w:r>
      <w:r w:rsidRPr="00967016">
        <w:rPr>
          <w:rFonts w:ascii="Times New Roman" w:hAnsi="Times New Roman" w:cs="Times New Roman"/>
          <w:sz w:val="24"/>
          <w:szCs w:val="24"/>
        </w:rPr>
        <w:t>:</w:t>
      </w:r>
      <w:r w:rsidRPr="00023401">
        <w:rPr>
          <w:rFonts w:ascii="Times New Roman" w:hAnsi="Times New Roman" w:cs="Times New Roman"/>
          <w:sz w:val="24"/>
          <w:szCs w:val="24"/>
        </w:rPr>
        <w:t xml:space="preserve"> </w:t>
      </w:r>
      <w:r w:rsidRPr="00023401">
        <w:rPr>
          <w:rFonts w:ascii="Times New Roman" w:hAnsi="Times New Roman" w:cs="Times New Roman"/>
          <w:sz w:val="24"/>
          <w:szCs w:val="24"/>
        </w:rPr>
        <w:tab/>
      </w:r>
      <w:r w:rsidRPr="00023401">
        <w:rPr>
          <w:rFonts w:ascii="Times New Roman" w:hAnsi="Times New Roman" w:cs="Times New Roman"/>
          <w:sz w:val="24"/>
          <w:szCs w:val="24"/>
        </w:rPr>
        <w:tab/>
      </w:r>
      <w:r w:rsidRPr="00023401">
        <w:rPr>
          <w:rFonts w:ascii="Times New Roman" w:hAnsi="Times New Roman" w:cs="Times New Roman"/>
          <w:sz w:val="24"/>
          <w:szCs w:val="24"/>
        </w:rPr>
        <w:tab/>
      </w:r>
      <w:r w:rsidRPr="00023401">
        <w:rPr>
          <w:rFonts w:ascii="Times New Roman" w:hAnsi="Times New Roman" w:cs="Times New Roman"/>
          <w:sz w:val="24"/>
          <w:szCs w:val="24"/>
        </w:rPr>
        <w:tab/>
      </w:r>
    </w:p>
    <w:p w14:paraId="34905B9D" w14:textId="29950E42" w:rsidR="00A925CA" w:rsidRDefault="008C0AE2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8C0AE2">
        <w:rPr>
          <w:noProof/>
        </w:rPr>
        <w:drawing>
          <wp:inline distT="0" distB="0" distL="0" distR="0" wp14:anchorId="5CAA9BD1" wp14:editId="1685E453">
            <wp:extent cx="2522220" cy="1104900"/>
            <wp:effectExtent l="0" t="0" r="0" b="0"/>
            <wp:docPr id="4913343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C28D1" w14:textId="1221BF0E" w:rsidR="0033227A" w:rsidRDefault="0033227A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33227A">
        <w:rPr>
          <w:rFonts w:ascii="Times New Roman" w:hAnsi="Times New Roman" w:cs="Times New Roman"/>
          <w:sz w:val="24"/>
          <w:szCs w:val="24"/>
        </w:rPr>
        <w:t xml:space="preserve">Nesigurna i utužena potraživanja od kupaca za pristojbe, naknade i zatezne kamate u iznosu od  9.473,20 EUR umanjila su potraživanja za prihode poslovanja sukladno Odluci Upravnog vijeća o otpisu potraživanja i to na način da se obračunati prihodi umanjuju za </w:t>
      </w:r>
      <w:bookmarkStart w:id="2" w:name="_Hlk189128635"/>
      <w:r w:rsidRPr="0033227A">
        <w:rPr>
          <w:rFonts w:ascii="Times New Roman" w:hAnsi="Times New Roman" w:cs="Times New Roman"/>
          <w:sz w:val="24"/>
          <w:szCs w:val="24"/>
        </w:rPr>
        <w:t>61,90 EUR</w:t>
      </w:r>
      <w:bookmarkEnd w:id="2"/>
      <w:r w:rsidRPr="003322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3227A">
        <w:rPr>
          <w:rFonts w:ascii="Times New Roman" w:hAnsi="Times New Roman" w:cs="Times New Roman"/>
          <w:sz w:val="24"/>
          <w:szCs w:val="24"/>
        </w:rPr>
        <w:t>ispravak vrijednosti potraživanja se umanjuje</w:t>
      </w:r>
      <w:r>
        <w:rPr>
          <w:rFonts w:ascii="Times New Roman" w:hAnsi="Times New Roman" w:cs="Times New Roman"/>
          <w:sz w:val="24"/>
          <w:szCs w:val="24"/>
        </w:rPr>
        <w:t xml:space="preserve"> za</w:t>
      </w:r>
      <w:r w:rsidRPr="0033227A">
        <w:rPr>
          <w:rFonts w:ascii="Times New Roman" w:hAnsi="Times New Roman" w:cs="Times New Roman"/>
          <w:sz w:val="24"/>
          <w:szCs w:val="24"/>
        </w:rPr>
        <w:t xml:space="preserve"> 9.411,30 EUR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322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8D9F0" w14:textId="77777777" w:rsidR="006A7AD0" w:rsidRDefault="006A7AD0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253E">
        <w:rPr>
          <w:rFonts w:ascii="Times New Roman" w:hAnsi="Times New Roman" w:cs="Times New Roman"/>
          <w:b/>
          <w:sz w:val="24"/>
          <w:szCs w:val="24"/>
        </w:rPr>
        <w:t>Potraživanja od prodaje nefinancijske imovine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9D7">
        <w:rPr>
          <w:rFonts w:ascii="Times New Roman" w:hAnsi="Times New Roman" w:cs="Times New Roman"/>
          <w:b/>
          <w:sz w:val="24"/>
          <w:szCs w:val="24"/>
        </w:rPr>
        <w:t>(17)</w:t>
      </w:r>
    </w:p>
    <w:p w14:paraId="6C834D6F" w14:textId="58D50777" w:rsidR="00614260" w:rsidRPr="00614260" w:rsidRDefault="004B5EDA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043E855A" w14:textId="77777777" w:rsidR="0069302A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253E">
        <w:rPr>
          <w:rFonts w:ascii="Times New Roman" w:hAnsi="Times New Roman" w:cs="Times New Roman"/>
          <w:b/>
          <w:sz w:val="24"/>
          <w:szCs w:val="24"/>
        </w:rPr>
        <w:lastRenderedPageBreak/>
        <w:t>Rashodi budućih razdoblja i nedospjela naplata prihoda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9D7">
        <w:rPr>
          <w:rFonts w:ascii="Times New Roman" w:hAnsi="Times New Roman" w:cs="Times New Roman"/>
          <w:b/>
          <w:sz w:val="24"/>
          <w:szCs w:val="24"/>
        </w:rPr>
        <w:t>(19)</w:t>
      </w:r>
    </w:p>
    <w:p w14:paraId="0F20C51C" w14:textId="252BDE1A" w:rsidR="00614260" w:rsidRDefault="004B5EDA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7DBDA3A1" w14:textId="77777777" w:rsidR="0069302A" w:rsidRPr="00036DEE" w:rsidRDefault="001D4818" w:rsidP="00036DEE">
      <w:pPr>
        <w:pStyle w:val="Heading2"/>
      </w:pPr>
      <w:bookmarkStart w:id="3" w:name="_Toc128989456"/>
      <w:r w:rsidRPr="00036DEE">
        <w:t>O</w:t>
      </w:r>
      <w:r w:rsidR="00614260" w:rsidRPr="00036DEE">
        <w:t xml:space="preserve"> </w:t>
      </w:r>
      <w:r w:rsidRPr="00036DEE">
        <w:t>B</w:t>
      </w:r>
      <w:r w:rsidR="00614260" w:rsidRPr="00036DEE">
        <w:t xml:space="preserve"> </w:t>
      </w:r>
      <w:r w:rsidRPr="00036DEE">
        <w:t>V</w:t>
      </w:r>
      <w:r w:rsidR="00614260" w:rsidRPr="00036DEE">
        <w:t xml:space="preserve"> </w:t>
      </w:r>
      <w:r w:rsidRPr="00036DEE">
        <w:t>E</w:t>
      </w:r>
      <w:r w:rsidR="00614260" w:rsidRPr="00036DEE">
        <w:t xml:space="preserve"> </w:t>
      </w:r>
      <w:r w:rsidRPr="00036DEE">
        <w:t>Z</w:t>
      </w:r>
      <w:r w:rsidR="00614260" w:rsidRPr="00036DEE">
        <w:t xml:space="preserve"> </w:t>
      </w:r>
      <w:r w:rsidRPr="00036DEE">
        <w:t>E</w:t>
      </w:r>
      <w:bookmarkEnd w:id="3"/>
    </w:p>
    <w:p w14:paraId="6F3B63FA" w14:textId="77777777" w:rsidR="001D4818" w:rsidRPr="00D90EA6" w:rsidRDefault="001D4818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90EA6">
        <w:rPr>
          <w:rFonts w:ascii="Times New Roman" w:hAnsi="Times New Roman" w:cs="Times New Roman"/>
          <w:b/>
          <w:sz w:val="24"/>
          <w:szCs w:val="24"/>
        </w:rPr>
        <w:t>Obveze za rashode poslovanja</w:t>
      </w:r>
      <w:r w:rsidRPr="00D90EA6">
        <w:rPr>
          <w:rFonts w:ascii="Times New Roman" w:hAnsi="Times New Roman" w:cs="Times New Roman"/>
          <w:sz w:val="24"/>
          <w:szCs w:val="24"/>
        </w:rPr>
        <w:t xml:space="preserve"> </w:t>
      </w:r>
      <w:r w:rsidRPr="00D90EA6">
        <w:rPr>
          <w:rFonts w:ascii="Times New Roman" w:hAnsi="Times New Roman" w:cs="Times New Roman"/>
          <w:b/>
          <w:sz w:val="24"/>
          <w:szCs w:val="24"/>
        </w:rPr>
        <w:t>(23)</w:t>
      </w:r>
    </w:p>
    <w:p w14:paraId="54775DD6" w14:textId="5326A6C6" w:rsidR="00614260" w:rsidRDefault="00111CE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Najveće učešće u stanju ovih obveza na dan 31.12.202</w:t>
      </w:r>
      <w:r w:rsidR="001B1B0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 imaju Obveze za financijske rashode koje se </w:t>
      </w:r>
      <w:r w:rsidR="002216BE">
        <w:rPr>
          <w:rFonts w:ascii="Times New Roman" w:hAnsi="Times New Roman" w:cs="Times New Roman"/>
          <w:sz w:val="24"/>
          <w:szCs w:val="24"/>
        </w:rPr>
        <w:t>većinom</w:t>
      </w:r>
      <w:r>
        <w:rPr>
          <w:rFonts w:ascii="Times New Roman" w:hAnsi="Times New Roman" w:cs="Times New Roman"/>
          <w:sz w:val="24"/>
          <w:szCs w:val="24"/>
        </w:rPr>
        <w:t xml:space="preserve"> odnose na nedospjele kamate po IBRD zajmu br. 7638 HR </w:t>
      </w:r>
      <w:r w:rsidR="001B1B0F">
        <w:rPr>
          <w:rFonts w:ascii="Times New Roman" w:hAnsi="Times New Roman" w:cs="Times New Roman"/>
          <w:sz w:val="24"/>
          <w:szCs w:val="24"/>
        </w:rPr>
        <w:t>(</w:t>
      </w:r>
      <w:r w:rsidR="001B1B0F" w:rsidRPr="00D90EA6">
        <w:rPr>
          <w:rFonts w:ascii="Times New Roman" w:hAnsi="Times New Roman" w:cs="Times New Roman"/>
          <w:sz w:val="24"/>
          <w:szCs w:val="24"/>
        </w:rPr>
        <w:t>603.448,80</w:t>
      </w:r>
      <w:r>
        <w:rPr>
          <w:rFonts w:ascii="Times New Roman" w:hAnsi="Times New Roman" w:cs="Times New Roman"/>
          <w:sz w:val="24"/>
          <w:szCs w:val="24"/>
        </w:rPr>
        <w:t xml:space="preserve"> EUR).</w:t>
      </w:r>
    </w:p>
    <w:p w14:paraId="5EAF8140" w14:textId="44FEB295" w:rsidR="005D1F2B" w:rsidRDefault="00111CE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Ostvareni promet u 202</w:t>
      </w:r>
      <w:r w:rsidR="001B1B0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.godini na poziciji Obveza za kapitalne pomoći (</w:t>
      </w:r>
      <w:r w:rsidR="001B1B0F">
        <w:rPr>
          <w:rFonts w:ascii="Times New Roman" w:hAnsi="Times New Roman" w:cs="Times New Roman"/>
          <w:sz w:val="24"/>
          <w:szCs w:val="24"/>
        </w:rPr>
        <w:t>10.491.423,94</w:t>
      </w:r>
      <w:r>
        <w:rPr>
          <w:rFonts w:ascii="Times New Roman" w:hAnsi="Times New Roman" w:cs="Times New Roman"/>
          <w:sz w:val="24"/>
          <w:szCs w:val="24"/>
        </w:rPr>
        <w:t xml:space="preserve"> EUR) odnosi se na transfer sredstava u korist Luke Rijeka d.d. kao partnera u CEF projekt</w:t>
      </w:r>
      <w:r w:rsidR="002216B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B1B0F">
        <w:rPr>
          <w:rFonts w:ascii="Times New Roman" w:hAnsi="Times New Roman" w:cs="Times New Roman"/>
          <w:sz w:val="24"/>
          <w:szCs w:val="24"/>
        </w:rPr>
        <w:t xml:space="preserve">POR2CORE </w:t>
      </w:r>
      <w:r w:rsidR="002216B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Bazen Rijeka). </w:t>
      </w:r>
      <w:r w:rsidR="00B17E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6AACB6" w14:textId="5F7FCD95" w:rsidR="00FC4B4E" w:rsidRDefault="00FC4B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color w:val="FF0000"/>
          <w:sz w:val="24"/>
          <w:szCs w:val="24"/>
        </w:rPr>
      </w:pPr>
      <w:r w:rsidRPr="00FC4B4E">
        <w:rPr>
          <w:noProof/>
        </w:rPr>
        <w:drawing>
          <wp:inline distT="0" distB="0" distL="0" distR="0" wp14:anchorId="17CA04A5" wp14:editId="55ACC148">
            <wp:extent cx="5234940" cy="1470660"/>
            <wp:effectExtent l="0" t="0" r="3810" b="0"/>
            <wp:docPr id="208848840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BCFD0" w14:textId="5F1C72C7" w:rsidR="00064C4E" w:rsidRPr="00967016" w:rsidRDefault="001D4818" w:rsidP="008C3B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67016">
        <w:rPr>
          <w:rFonts w:ascii="Times New Roman" w:hAnsi="Times New Roman" w:cs="Times New Roman"/>
          <w:b/>
          <w:sz w:val="24"/>
          <w:szCs w:val="24"/>
        </w:rPr>
        <w:t>Obveze za nabavu nefinancijske imovine</w:t>
      </w:r>
      <w:r w:rsidRPr="00967016">
        <w:rPr>
          <w:rFonts w:ascii="Times New Roman" w:hAnsi="Times New Roman" w:cs="Times New Roman"/>
          <w:sz w:val="24"/>
          <w:szCs w:val="24"/>
        </w:rPr>
        <w:t xml:space="preserve"> </w:t>
      </w:r>
      <w:r w:rsidRPr="00967016">
        <w:rPr>
          <w:rFonts w:ascii="Times New Roman" w:hAnsi="Times New Roman" w:cs="Times New Roman"/>
          <w:b/>
          <w:sz w:val="24"/>
          <w:szCs w:val="24"/>
        </w:rPr>
        <w:t>(24)</w:t>
      </w:r>
    </w:p>
    <w:p w14:paraId="2B907D59" w14:textId="0B98F9F4" w:rsidR="00065DCB" w:rsidRDefault="00E46502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obveza za nabavu nefinancijske imovine na kraju 202</w:t>
      </w:r>
      <w:r w:rsidR="008D04D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.godine se uglavnom sastoji od obveza za izgradnju građevinskih objekata (</w:t>
      </w:r>
      <w:r w:rsidR="00524BDA">
        <w:rPr>
          <w:rFonts w:ascii="Times New Roman" w:hAnsi="Times New Roman" w:cs="Times New Roman"/>
          <w:sz w:val="24"/>
          <w:szCs w:val="24"/>
        </w:rPr>
        <w:t xml:space="preserve">2.146.011,47 </w:t>
      </w:r>
      <w:r>
        <w:rPr>
          <w:rFonts w:ascii="Times New Roman" w:hAnsi="Times New Roman" w:cs="Times New Roman"/>
          <w:sz w:val="24"/>
          <w:szCs w:val="24"/>
        </w:rPr>
        <w:t xml:space="preserve">EUR) </w:t>
      </w:r>
      <w:r w:rsidR="00C36A81">
        <w:rPr>
          <w:rFonts w:ascii="Times New Roman" w:hAnsi="Times New Roman" w:cs="Times New Roman"/>
          <w:sz w:val="24"/>
          <w:szCs w:val="24"/>
        </w:rPr>
        <w:t xml:space="preserve">od čega se na </w:t>
      </w:r>
      <w:r w:rsidR="00524BDA">
        <w:rPr>
          <w:rFonts w:ascii="Times New Roman" w:hAnsi="Times New Roman" w:cs="Times New Roman"/>
          <w:sz w:val="24"/>
          <w:szCs w:val="24"/>
        </w:rPr>
        <w:t>obveze za ulaganja u infrastrukturu JANAF-a odnosi 1.030.378,78</w:t>
      </w:r>
      <w:r w:rsidR="00C36A81">
        <w:rPr>
          <w:rFonts w:ascii="Times New Roman" w:hAnsi="Times New Roman" w:cs="Times New Roman"/>
          <w:sz w:val="24"/>
          <w:szCs w:val="24"/>
        </w:rPr>
        <w:t xml:space="preserve"> EUR</w:t>
      </w:r>
      <w:r w:rsidR="00524BDA">
        <w:rPr>
          <w:rFonts w:ascii="Times New Roman" w:hAnsi="Times New Roman" w:cs="Times New Roman"/>
          <w:sz w:val="24"/>
          <w:szCs w:val="24"/>
        </w:rPr>
        <w:t>, a na obveze prema izvođaču radova na popuni</w:t>
      </w:r>
      <w:r w:rsidR="00524BDA" w:rsidRPr="00524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BDA" w:rsidRPr="00524BDA">
        <w:rPr>
          <w:rFonts w:ascii="Times New Roman" w:hAnsi="Times New Roman" w:cs="Times New Roman"/>
          <w:sz w:val="24"/>
          <w:szCs w:val="24"/>
        </w:rPr>
        <w:t>školjere</w:t>
      </w:r>
      <w:proofErr w:type="spellEnd"/>
      <w:r w:rsidR="00524BDA" w:rsidRPr="00524BDA">
        <w:rPr>
          <w:rFonts w:ascii="Times New Roman" w:hAnsi="Times New Roman" w:cs="Times New Roman"/>
          <w:sz w:val="24"/>
          <w:szCs w:val="24"/>
        </w:rPr>
        <w:t xml:space="preserve"> na lukobranu Petrolejske luke Mlaka (</w:t>
      </w:r>
      <w:r w:rsidR="00524BDA">
        <w:rPr>
          <w:rFonts w:ascii="Times New Roman" w:hAnsi="Times New Roman" w:cs="Times New Roman"/>
          <w:sz w:val="24"/>
          <w:szCs w:val="24"/>
        </w:rPr>
        <w:t>797.335,60</w:t>
      </w:r>
      <w:r w:rsidR="00524BDA" w:rsidRPr="00524BDA">
        <w:rPr>
          <w:rFonts w:ascii="Times New Roman" w:hAnsi="Times New Roman" w:cs="Times New Roman"/>
          <w:sz w:val="24"/>
          <w:szCs w:val="24"/>
        </w:rPr>
        <w:t xml:space="preserve"> EUR)</w:t>
      </w:r>
      <w:r w:rsidR="00C36A81">
        <w:rPr>
          <w:rFonts w:ascii="Times New Roman" w:hAnsi="Times New Roman" w:cs="Times New Roman"/>
          <w:sz w:val="24"/>
          <w:szCs w:val="24"/>
        </w:rPr>
        <w:t>.</w:t>
      </w:r>
    </w:p>
    <w:p w14:paraId="6BD3B819" w14:textId="4AA29F76" w:rsidR="00681091" w:rsidRDefault="00681091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681091">
        <w:rPr>
          <w:noProof/>
        </w:rPr>
        <w:drawing>
          <wp:inline distT="0" distB="0" distL="0" distR="0" wp14:anchorId="7EEDB1EE" wp14:editId="1BD305D8">
            <wp:extent cx="6120130" cy="901065"/>
            <wp:effectExtent l="0" t="0" r="0" b="0"/>
            <wp:docPr id="82783246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4C4D0" w14:textId="77777777" w:rsidR="001D4818" w:rsidRPr="00064C4E" w:rsidRDefault="001D4818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6253E">
        <w:rPr>
          <w:rFonts w:ascii="Times New Roman" w:hAnsi="Times New Roman" w:cs="Times New Roman"/>
          <w:b/>
          <w:sz w:val="24"/>
          <w:szCs w:val="24"/>
        </w:rPr>
        <w:t>Obveze za kredite i zajmove</w:t>
      </w:r>
      <w:r w:rsidRPr="000C01F8">
        <w:rPr>
          <w:rFonts w:ascii="Times New Roman" w:hAnsi="Times New Roman" w:cs="Times New Roman"/>
          <w:sz w:val="24"/>
          <w:szCs w:val="24"/>
        </w:rPr>
        <w:t xml:space="preserve"> </w:t>
      </w:r>
      <w:r w:rsidRPr="00064C4E">
        <w:rPr>
          <w:rFonts w:ascii="Times New Roman" w:hAnsi="Times New Roman" w:cs="Times New Roman"/>
          <w:b/>
          <w:sz w:val="24"/>
          <w:szCs w:val="24"/>
        </w:rPr>
        <w:t>(26)</w:t>
      </w:r>
    </w:p>
    <w:p w14:paraId="181DB786" w14:textId="689DD5DA" w:rsidR="006A5463" w:rsidRDefault="00391DBD" w:rsidP="006A546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41820">
        <w:rPr>
          <w:rFonts w:ascii="Times New Roman" w:hAnsi="Times New Roman" w:cs="Times New Roman"/>
          <w:sz w:val="24"/>
          <w:szCs w:val="24"/>
        </w:rPr>
        <w:t>bveze za kredite i zajmove Lučke uprave Rijeka na dan 31.12.202</w:t>
      </w:r>
      <w:r w:rsidR="00733AD8">
        <w:rPr>
          <w:rFonts w:ascii="Times New Roman" w:hAnsi="Times New Roman" w:cs="Times New Roman"/>
          <w:sz w:val="24"/>
          <w:szCs w:val="24"/>
        </w:rPr>
        <w:t>4</w:t>
      </w:r>
      <w:r w:rsidR="00541820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 xml:space="preserve">obuhvaćaju </w:t>
      </w:r>
      <w:r w:rsidR="00EA6907">
        <w:rPr>
          <w:rFonts w:ascii="Times New Roman" w:hAnsi="Times New Roman" w:cs="Times New Roman"/>
          <w:sz w:val="24"/>
          <w:szCs w:val="24"/>
        </w:rPr>
        <w:t>dva dugoročna ino-zajma u otplati:</w:t>
      </w:r>
    </w:p>
    <w:p w14:paraId="090D6B14" w14:textId="77777777" w:rsidR="00797981" w:rsidRDefault="00797981" w:rsidP="006A546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8398F" w14:textId="09E2A0A8" w:rsidR="00391DBD" w:rsidRDefault="00391DBD" w:rsidP="006A546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A6907">
        <w:rPr>
          <w:rFonts w:ascii="Times New Roman" w:hAnsi="Times New Roman" w:cs="Times New Roman"/>
          <w:sz w:val="24"/>
          <w:szCs w:val="24"/>
        </w:rPr>
        <w:t>KOREA EXIMBANK za Projekt SAMSUNG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24499" w:rsidRPr="00124499">
        <w:rPr>
          <w:rFonts w:ascii="Times New Roman" w:hAnsi="Times New Roman" w:cs="Times New Roman"/>
          <w:sz w:val="24"/>
          <w:szCs w:val="24"/>
        </w:rPr>
        <w:t>3</w:t>
      </w:r>
      <w:r w:rsidR="00124499">
        <w:rPr>
          <w:rFonts w:ascii="Times New Roman" w:hAnsi="Times New Roman" w:cs="Times New Roman"/>
          <w:sz w:val="24"/>
          <w:szCs w:val="24"/>
        </w:rPr>
        <w:t>.</w:t>
      </w:r>
      <w:r w:rsidR="00124499" w:rsidRPr="00124499">
        <w:rPr>
          <w:rFonts w:ascii="Times New Roman" w:hAnsi="Times New Roman" w:cs="Times New Roman"/>
          <w:sz w:val="24"/>
          <w:szCs w:val="24"/>
        </w:rPr>
        <w:t>680</w:t>
      </w:r>
      <w:r w:rsidR="00124499">
        <w:rPr>
          <w:rFonts w:ascii="Times New Roman" w:hAnsi="Times New Roman" w:cs="Times New Roman"/>
          <w:sz w:val="24"/>
          <w:szCs w:val="24"/>
        </w:rPr>
        <w:t>.</w:t>
      </w:r>
      <w:r w:rsidR="00124499" w:rsidRPr="00124499">
        <w:rPr>
          <w:rFonts w:ascii="Times New Roman" w:hAnsi="Times New Roman" w:cs="Times New Roman"/>
          <w:sz w:val="24"/>
          <w:szCs w:val="24"/>
        </w:rPr>
        <w:t>754</w:t>
      </w:r>
      <w:r w:rsidR="00124499">
        <w:rPr>
          <w:rFonts w:ascii="Times New Roman" w:hAnsi="Times New Roman" w:cs="Times New Roman"/>
          <w:sz w:val="24"/>
          <w:szCs w:val="24"/>
        </w:rPr>
        <w:t>.</w:t>
      </w:r>
      <w:r w:rsidR="00124499" w:rsidRPr="00124499">
        <w:rPr>
          <w:rFonts w:ascii="Times New Roman" w:hAnsi="Times New Roman" w:cs="Times New Roman"/>
          <w:sz w:val="24"/>
          <w:szCs w:val="24"/>
        </w:rPr>
        <w:t>000</w:t>
      </w:r>
      <w:r w:rsidR="00124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KRW odnosno </w:t>
      </w:r>
      <w:r w:rsidR="00124499">
        <w:rPr>
          <w:rFonts w:ascii="Times New Roman" w:hAnsi="Times New Roman" w:cs="Times New Roman"/>
          <w:sz w:val="24"/>
          <w:szCs w:val="24"/>
        </w:rPr>
        <w:t xml:space="preserve">2.435.649,81 </w:t>
      </w:r>
      <w:r>
        <w:rPr>
          <w:rFonts w:ascii="Times New Roman" w:hAnsi="Times New Roman" w:cs="Times New Roman"/>
          <w:sz w:val="24"/>
          <w:szCs w:val="24"/>
        </w:rPr>
        <w:t xml:space="preserve">EUR) i </w:t>
      </w:r>
    </w:p>
    <w:p w14:paraId="5A2502F8" w14:textId="7CC83986" w:rsidR="00391DBD" w:rsidRDefault="00391DBD" w:rsidP="006A546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A6907">
        <w:rPr>
          <w:rFonts w:ascii="Times New Roman" w:hAnsi="Times New Roman" w:cs="Times New Roman"/>
          <w:sz w:val="24"/>
          <w:szCs w:val="24"/>
        </w:rPr>
        <w:t>IBRD zajam br. 7638 HR za Projekt obnove riječkog prometnog pravca II</w:t>
      </w:r>
      <w:r w:rsidR="006A54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24499" w:rsidRPr="00124499">
        <w:rPr>
          <w:rFonts w:ascii="Times New Roman" w:hAnsi="Times New Roman" w:cs="Times New Roman"/>
          <w:sz w:val="24"/>
          <w:szCs w:val="24"/>
        </w:rPr>
        <w:t>56</w:t>
      </w:r>
      <w:r w:rsidR="00124499">
        <w:rPr>
          <w:rFonts w:ascii="Times New Roman" w:hAnsi="Times New Roman" w:cs="Times New Roman"/>
          <w:sz w:val="24"/>
          <w:szCs w:val="24"/>
        </w:rPr>
        <w:t>.</w:t>
      </w:r>
      <w:r w:rsidR="00124499" w:rsidRPr="00124499">
        <w:rPr>
          <w:rFonts w:ascii="Times New Roman" w:hAnsi="Times New Roman" w:cs="Times New Roman"/>
          <w:sz w:val="24"/>
          <w:szCs w:val="24"/>
        </w:rPr>
        <w:t>712</w:t>
      </w:r>
      <w:r w:rsidR="00124499">
        <w:rPr>
          <w:rFonts w:ascii="Times New Roman" w:hAnsi="Times New Roman" w:cs="Times New Roman"/>
          <w:sz w:val="24"/>
          <w:szCs w:val="24"/>
        </w:rPr>
        <w:t>.</w:t>
      </w:r>
      <w:r w:rsidR="00124499" w:rsidRPr="00124499">
        <w:rPr>
          <w:rFonts w:ascii="Times New Roman" w:hAnsi="Times New Roman" w:cs="Times New Roman"/>
          <w:sz w:val="24"/>
          <w:szCs w:val="24"/>
        </w:rPr>
        <w:t>151</w:t>
      </w:r>
      <w:r w:rsidR="00124499">
        <w:rPr>
          <w:rFonts w:ascii="Times New Roman" w:hAnsi="Times New Roman" w:cs="Times New Roman"/>
          <w:sz w:val="24"/>
          <w:szCs w:val="24"/>
        </w:rPr>
        <w:t>,</w:t>
      </w:r>
      <w:r w:rsidR="00124499" w:rsidRPr="00124499">
        <w:rPr>
          <w:rFonts w:ascii="Times New Roman" w:hAnsi="Times New Roman" w:cs="Times New Roman"/>
          <w:sz w:val="24"/>
          <w:szCs w:val="24"/>
        </w:rPr>
        <w:t>62</w:t>
      </w:r>
      <w:r w:rsidR="0012449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EUR)</w:t>
      </w:r>
    </w:p>
    <w:p w14:paraId="73C96F72" w14:textId="2E38F53D" w:rsidR="00391DBD" w:rsidRDefault="00391DBD" w:rsidP="006A546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</w:t>
      </w:r>
    </w:p>
    <w:p w14:paraId="0B502A4A" w14:textId="11318CEA" w:rsidR="00EA6907" w:rsidRDefault="00391DBD" w:rsidP="006A546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A6907">
        <w:rPr>
          <w:rFonts w:ascii="Times New Roman" w:hAnsi="Times New Roman" w:cs="Times New Roman"/>
          <w:sz w:val="24"/>
          <w:szCs w:val="24"/>
        </w:rPr>
        <w:t xml:space="preserve">kredit Erste &amp; </w:t>
      </w:r>
      <w:proofErr w:type="spellStart"/>
      <w:r w:rsidR="00EA6907">
        <w:rPr>
          <w:rFonts w:ascii="Times New Roman" w:hAnsi="Times New Roman" w:cs="Times New Roman"/>
          <w:sz w:val="24"/>
          <w:szCs w:val="24"/>
        </w:rPr>
        <w:t>Steiermarkische</w:t>
      </w:r>
      <w:proofErr w:type="spellEnd"/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907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="00EA6907">
        <w:rPr>
          <w:rFonts w:ascii="Times New Roman" w:hAnsi="Times New Roman" w:cs="Times New Roman"/>
          <w:sz w:val="24"/>
          <w:szCs w:val="24"/>
        </w:rPr>
        <w:t xml:space="preserve"> d.d. Rijeka za CEF projekt produbljenja južnog veza AGCT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24499">
        <w:rPr>
          <w:rFonts w:ascii="Times New Roman" w:hAnsi="Times New Roman" w:cs="Times New Roman"/>
          <w:sz w:val="24"/>
          <w:szCs w:val="24"/>
        </w:rPr>
        <w:t xml:space="preserve">10.361.119,35 </w:t>
      </w:r>
      <w:r>
        <w:rPr>
          <w:rFonts w:ascii="Times New Roman" w:hAnsi="Times New Roman" w:cs="Times New Roman"/>
          <w:sz w:val="24"/>
          <w:szCs w:val="24"/>
        </w:rPr>
        <w:t>EUR)</w:t>
      </w:r>
      <w:r w:rsidR="00EA6907">
        <w:rPr>
          <w:rFonts w:ascii="Times New Roman" w:hAnsi="Times New Roman" w:cs="Times New Roman"/>
          <w:sz w:val="24"/>
          <w:szCs w:val="24"/>
        </w:rPr>
        <w:t>.</w:t>
      </w:r>
    </w:p>
    <w:p w14:paraId="10ACB6D6" w14:textId="3973044C" w:rsidR="00EA6907" w:rsidRPr="00D05DCE" w:rsidRDefault="00EA6907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noProof/>
          <w:lang w:eastAsia="en-GB"/>
        </w:rPr>
      </w:pPr>
    </w:p>
    <w:p w14:paraId="0C78B7BF" w14:textId="5B7018C2" w:rsidR="00EA2BE9" w:rsidRDefault="00733AD8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noProof/>
          <w:lang w:val="en-GB" w:eastAsia="en-GB"/>
        </w:rPr>
      </w:pPr>
      <w:r w:rsidRPr="00733AD8">
        <w:rPr>
          <w:noProof/>
        </w:rPr>
        <w:lastRenderedPageBreak/>
        <w:drawing>
          <wp:inline distT="0" distB="0" distL="0" distR="0" wp14:anchorId="5623B178" wp14:editId="65766F43">
            <wp:extent cx="6120130" cy="1651000"/>
            <wp:effectExtent l="0" t="0" r="0" b="6350"/>
            <wp:docPr id="20146509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F38FF" w14:textId="77777777" w:rsidR="001D4818" w:rsidRPr="00064C4E" w:rsidRDefault="001D4818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6253E">
        <w:rPr>
          <w:rFonts w:ascii="Times New Roman" w:hAnsi="Times New Roman" w:cs="Times New Roman"/>
          <w:b/>
          <w:sz w:val="24"/>
          <w:szCs w:val="24"/>
        </w:rPr>
        <w:t>Odgođeno plaćanje rashoda i prihodi budućih razdoblja</w:t>
      </w:r>
      <w:r w:rsidRPr="000C01F8">
        <w:rPr>
          <w:rFonts w:ascii="Times New Roman" w:hAnsi="Times New Roman" w:cs="Times New Roman"/>
          <w:sz w:val="24"/>
          <w:szCs w:val="24"/>
        </w:rPr>
        <w:t xml:space="preserve"> </w:t>
      </w:r>
      <w:r w:rsidRPr="00064C4E">
        <w:rPr>
          <w:rFonts w:ascii="Times New Roman" w:hAnsi="Times New Roman" w:cs="Times New Roman"/>
          <w:b/>
          <w:sz w:val="24"/>
          <w:szCs w:val="24"/>
        </w:rPr>
        <w:t>(29)</w:t>
      </w:r>
    </w:p>
    <w:p w14:paraId="4F46A7D4" w14:textId="5F8DE846" w:rsidR="00064C4E" w:rsidRDefault="006A5463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1A95687E" w14:textId="25F54F35" w:rsidR="00914103" w:rsidRPr="000E2812" w:rsidRDefault="00914103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E2812">
        <w:rPr>
          <w:rFonts w:ascii="Times New Roman" w:hAnsi="Times New Roman" w:cs="Times New Roman"/>
          <w:b/>
          <w:sz w:val="24"/>
          <w:szCs w:val="24"/>
        </w:rPr>
        <w:t>Vlastiti izvori</w:t>
      </w:r>
      <w:r w:rsidR="00BE5E19" w:rsidRPr="000E2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2812">
        <w:rPr>
          <w:rFonts w:ascii="Times New Roman" w:hAnsi="Times New Roman" w:cs="Times New Roman"/>
          <w:b/>
          <w:sz w:val="24"/>
          <w:szCs w:val="24"/>
        </w:rPr>
        <w:t>(91)</w:t>
      </w:r>
    </w:p>
    <w:p w14:paraId="70D6650A" w14:textId="28365A44" w:rsidR="00064C4E" w:rsidRDefault="00BE5E19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Promjene na vlastitim izvorima u 202</w:t>
      </w:r>
      <w:r w:rsidR="000E281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 prikazane su u tablici u nastavku.  </w:t>
      </w:r>
    </w:p>
    <w:p w14:paraId="3F69AF1E" w14:textId="4BB4B849" w:rsidR="000E2812" w:rsidRDefault="000E2812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0E2812">
        <w:rPr>
          <w:noProof/>
        </w:rPr>
        <w:drawing>
          <wp:inline distT="0" distB="0" distL="0" distR="0" wp14:anchorId="53ADDE54" wp14:editId="364160D6">
            <wp:extent cx="6120130" cy="848360"/>
            <wp:effectExtent l="0" t="0" r="0" b="8890"/>
            <wp:docPr id="13466746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99590" w14:textId="6D64C6A8" w:rsidR="005B7B76" w:rsidRPr="00064C4E" w:rsidRDefault="006D4881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Povećanje vlastitih izvora obuhvaća </w:t>
      </w:r>
      <w:r w:rsidR="001D1805">
        <w:rPr>
          <w:rFonts w:ascii="Times New Roman" w:hAnsi="Times New Roman" w:cs="Times New Roman"/>
          <w:sz w:val="24"/>
          <w:szCs w:val="24"/>
        </w:rPr>
        <w:t>ulaganja iz proračuna u nefinancijsku imovinu dok se smanjenje uglavnom odnosi na isprav</w:t>
      </w:r>
      <w:r w:rsidR="00FC7778">
        <w:rPr>
          <w:rFonts w:ascii="Times New Roman" w:hAnsi="Times New Roman" w:cs="Times New Roman"/>
          <w:sz w:val="24"/>
          <w:szCs w:val="24"/>
        </w:rPr>
        <w:t>a</w:t>
      </w:r>
      <w:r w:rsidR="001D1805">
        <w:rPr>
          <w:rFonts w:ascii="Times New Roman" w:hAnsi="Times New Roman" w:cs="Times New Roman"/>
          <w:sz w:val="24"/>
          <w:szCs w:val="24"/>
        </w:rPr>
        <w:t xml:space="preserve">k vrijednosti nematerijalne imovine </w:t>
      </w:r>
      <w:r w:rsidR="00FC7778" w:rsidRPr="00FC7778">
        <w:rPr>
          <w:rFonts w:ascii="Times New Roman" w:hAnsi="Times New Roman" w:cs="Times New Roman"/>
          <w:sz w:val="24"/>
          <w:szCs w:val="24"/>
        </w:rPr>
        <w:t>(</w:t>
      </w:r>
      <w:r w:rsidR="00FC7778">
        <w:rPr>
          <w:rFonts w:ascii="Times New Roman" w:hAnsi="Times New Roman" w:cs="Times New Roman"/>
          <w:sz w:val="24"/>
          <w:szCs w:val="24"/>
        </w:rPr>
        <w:t>1</w:t>
      </w:r>
      <w:r w:rsidR="00FC7778" w:rsidRPr="00FC7778">
        <w:rPr>
          <w:rFonts w:ascii="Times New Roman" w:hAnsi="Times New Roman" w:cs="Times New Roman"/>
          <w:sz w:val="24"/>
          <w:szCs w:val="24"/>
        </w:rPr>
        <w:t xml:space="preserve">3.775.200,51        </w:t>
      </w:r>
      <w:r w:rsidR="000E2812" w:rsidRPr="000E2812">
        <w:rPr>
          <w:rFonts w:ascii="Times New Roman" w:hAnsi="Times New Roman" w:cs="Times New Roman"/>
          <w:sz w:val="24"/>
          <w:szCs w:val="24"/>
          <w:highlight w:val="yellow"/>
        </w:rPr>
        <w:t xml:space="preserve">        </w:t>
      </w:r>
      <w:r w:rsidR="001D1805" w:rsidRPr="00FC7778">
        <w:rPr>
          <w:rFonts w:ascii="Times New Roman" w:hAnsi="Times New Roman" w:cs="Times New Roman"/>
          <w:sz w:val="24"/>
          <w:szCs w:val="24"/>
        </w:rPr>
        <w:t>EUR)</w:t>
      </w:r>
      <w:r w:rsidR="001D1805">
        <w:rPr>
          <w:rFonts w:ascii="Times New Roman" w:hAnsi="Times New Roman" w:cs="Times New Roman"/>
          <w:sz w:val="24"/>
          <w:szCs w:val="24"/>
        </w:rPr>
        <w:t xml:space="preserve">. Ispravak vlastitih izvora za obveze se odnosi na dugoročne kredite Lučke uprave Rijeka (KOREA EXIMBANK, IBRD </w:t>
      </w:r>
      <w:r w:rsidR="005B7B76">
        <w:rPr>
          <w:rFonts w:ascii="Times New Roman" w:hAnsi="Times New Roman" w:cs="Times New Roman"/>
          <w:sz w:val="24"/>
          <w:szCs w:val="24"/>
        </w:rPr>
        <w:t xml:space="preserve">zajam br. 7638 HR i </w:t>
      </w:r>
      <w:r w:rsidR="001D1805">
        <w:rPr>
          <w:rFonts w:ascii="Times New Roman" w:hAnsi="Times New Roman" w:cs="Times New Roman"/>
          <w:sz w:val="24"/>
          <w:szCs w:val="24"/>
        </w:rPr>
        <w:t xml:space="preserve"> </w:t>
      </w:r>
      <w:r w:rsidR="005B7B76">
        <w:rPr>
          <w:rFonts w:ascii="Times New Roman" w:hAnsi="Times New Roman" w:cs="Times New Roman"/>
          <w:sz w:val="24"/>
          <w:szCs w:val="24"/>
        </w:rPr>
        <w:t xml:space="preserve">kredit Erste &amp; </w:t>
      </w:r>
      <w:proofErr w:type="spellStart"/>
      <w:r w:rsidR="005B7B76">
        <w:rPr>
          <w:rFonts w:ascii="Times New Roman" w:hAnsi="Times New Roman" w:cs="Times New Roman"/>
          <w:sz w:val="24"/>
          <w:szCs w:val="24"/>
        </w:rPr>
        <w:t>Steiermarkische</w:t>
      </w:r>
      <w:proofErr w:type="spellEnd"/>
      <w:r w:rsidR="005B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B76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="005B7B76">
        <w:rPr>
          <w:rFonts w:ascii="Times New Roman" w:hAnsi="Times New Roman" w:cs="Times New Roman"/>
          <w:sz w:val="24"/>
          <w:szCs w:val="24"/>
        </w:rPr>
        <w:t xml:space="preserve"> d.d.).</w:t>
      </w:r>
    </w:p>
    <w:p w14:paraId="505708E7" w14:textId="77777777" w:rsidR="001D4818" w:rsidRPr="00315BA7" w:rsidRDefault="001D4818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15BA7">
        <w:rPr>
          <w:rFonts w:ascii="Times New Roman" w:hAnsi="Times New Roman" w:cs="Times New Roman"/>
          <w:b/>
          <w:sz w:val="24"/>
          <w:szCs w:val="24"/>
        </w:rPr>
        <w:t>Višak/manjak prihoda</w:t>
      </w:r>
      <w:r w:rsidRPr="00315BA7">
        <w:rPr>
          <w:rFonts w:ascii="Times New Roman" w:hAnsi="Times New Roman" w:cs="Times New Roman"/>
          <w:sz w:val="24"/>
          <w:szCs w:val="24"/>
        </w:rPr>
        <w:t xml:space="preserve"> </w:t>
      </w:r>
      <w:r w:rsidRPr="00315BA7">
        <w:rPr>
          <w:rFonts w:ascii="Times New Roman" w:hAnsi="Times New Roman" w:cs="Times New Roman"/>
          <w:b/>
          <w:sz w:val="24"/>
          <w:szCs w:val="24"/>
        </w:rPr>
        <w:t>(922)</w:t>
      </w:r>
    </w:p>
    <w:p w14:paraId="27298197" w14:textId="5BAAF19C" w:rsidR="009B28BD" w:rsidRDefault="009B28BD" w:rsidP="0072614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B28BD">
        <w:rPr>
          <w:rFonts w:ascii="Times New Roman" w:hAnsi="Times New Roman" w:cs="Times New Roman"/>
          <w:sz w:val="24"/>
          <w:szCs w:val="24"/>
        </w:rPr>
        <w:t>Sažetak promjena na pozicijama Viška / manjka prihoda u 202</w:t>
      </w:r>
      <w:r w:rsidR="001E5F58">
        <w:rPr>
          <w:rFonts w:ascii="Times New Roman" w:hAnsi="Times New Roman" w:cs="Times New Roman"/>
          <w:sz w:val="24"/>
          <w:szCs w:val="24"/>
        </w:rPr>
        <w:t>4</w:t>
      </w:r>
      <w:r w:rsidRPr="009B28BD">
        <w:rPr>
          <w:rFonts w:ascii="Times New Roman" w:hAnsi="Times New Roman" w:cs="Times New Roman"/>
          <w:sz w:val="24"/>
          <w:szCs w:val="24"/>
        </w:rPr>
        <w:t>.godini sadrži sljedeća tablica.</w:t>
      </w:r>
    </w:p>
    <w:p w14:paraId="4D3B2489" w14:textId="530B8E7E" w:rsidR="009C6A3C" w:rsidRDefault="009C6A3C" w:rsidP="0072614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C6A3C">
        <w:rPr>
          <w:noProof/>
        </w:rPr>
        <w:drawing>
          <wp:inline distT="0" distB="0" distL="0" distR="0" wp14:anchorId="50651F5C" wp14:editId="6A490BEC">
            <wp:extent cx="6120130" cy="680085"/>
            <wp:effectExtent l="0" t="0" r="0" b="5715"/>
            <wp:docPr id="5083468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F82CD" w14:textId="1B118884" w:rsidR="00B002A8" w:rsidRPr="00B002A8" w:rsidRDefault="00B002A8" w:rsidP="00B002A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B002A8">
        <w:rPr>
          <w:rFonts w:ascii="Times New Roman" w:hAnsi="Times New Roman" w:cs="Times New Roman"/>
          <w:sz w:val="24"/>
          <w:szCs w:val="24"/>
        </w:rPr>
        <w:t xml:space="preserve">Višak prihoda poslovanja (račun 92211) je uvećan za prihod ostvaren 2023. godine u iznosu 2.655,51 EUR, za iznos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B002A8">
        <w:rPr>
          <w:rFonts w:ascii="Times New Roman" w:hAnsi="Times New Roman" w:cs="Times New Roman"/>
          <w:sz w:val="24"/>
          <w:szCs w:val="24"/>
        </w:rPr>
        <w:t xml:space="preserve">131,90 EUR za rashod dva puta iskazan u 2023. godini te za 19.047.505,08 EUR kao rezultat 2024. godine. Umanjen je za 19.010.492,76 EUR sukladno Odluci o raspodjeli rezultata za 2023. godinu i za 3.451.468,60 EUR zbog korekcije rezultata </w:t>
      </w:r>
      <w:r w:rsidRPr="005C179F">
        <w:rPr>
          <w:rFonts w:ascii="Times New Roman" w:hAnsi="Times New Roman" w:cs="Times New Roman"/>
          <w:sz w:val="24"/>
          <w:szCs w:val="24"/>
        </w:rPr>
        <w:t>za 202</w:t>
      </w:r>
      <w:r w:rsidR="005C179F" w:rsidRPr="005C179F">
        <w:rPr>
          <w:rFonts w:ascii="Times New Roman" w:hAnsi="Times New Roman" w:cs="Times New Roman"/>
          <w:sz w:val="24"/>
          <w:szCs w:val="24"/>
        </w:rPr>
        <w:t>4</w:t>
      </w:r>
      <w:r w:rsidRPr="005C179F">
        <w:rPr>
          <w:rFonts w:ascii="Times New Roman" w:hAnsi="Times New Roman" w:cs="Times New Roman"/>
          <w:sz w:val="24"/>
          <w:szCs w:val="24"/>
        </w:rPr>
        <w:t>.</w:t>
      </w:r>
      <w:r w:rsidRPr="001568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002A8">
        <w:rPr>
          <w:rFonts w:ascii="Times New Roman" w:hAnsi="Times New Roman" w:cs="Times New Roman"/>
          <w:sz w:val="24"/>
          <w:szCs w:val="24"/>
        </w:rPr>
        <w:t>godinu.</w:t>
      </w:r>
    </w:p>
    <w:p w14:paraId="2BA9C306" w14:textId="66822F5B" w:rsidR="00B002A8" w:rsidRPr="00B002A8" w:rsidRDefault="00B002A8" w:rsidP="00B002A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B002A8">
        <w:rPr>
          <w:rFonts w:ascii="Times New Roman" w:hAnsi="Times New Roman" w:cs="Times New Roman"/>
          <w:sz w:val="24"/>
          <w:szCs w:val="24"/>
        </w:rPr>
        <w:t xml:space="preserve">Manjak prihoda od nefinancijske imovine (račun 92222) iz 2023. godine je sukladno Odluci o raspodjeli rezultata za 2023. godinu pokriven iz viška prihoda poslovanja u iznosu </w:t>
      </w:r>
      <w:r w:rsidRPr="00380A9F">
        <w:rPr>
          <w:rFonts w:ascii="Times New Roman" w:hAnsi="Times New Roman" w:cs="Times New Roman"/>
          <w:sz w:val="24"/>
          <w:szCs w:val="24"/>
        </w:rPr>
        <w:t>12</w:t>
      </w:r>
      <w:r w:rsidR="00380A9F" w:rsidRPr="00380A9F">
        <w:rPr>
          <w:rFonts w:ascii="Times New Roman" w:hAnsi="Times New Roman" w:cs="Times New Roman"/>
          <w:sz w:val="24"/>
          <w:szCs w:val="24"/>
        </w:rPr>
        <w:t>.</w:t>
      </w:r>
      <w:r w:rsidRPr="00380A9F">
        <w:rPr>
          <w:rFonts w:ascii="Times New Roman" w:hAnsi="Times New Roman" w:cs="Times New Roman"/>
          <w:sz w:val="24"/>
          <w:szCs w:val="24"/>
        </w:rPr>
        <w:t>643.583,75</w:t>
      </w:r>
      <w:r w:rsidRPr="00B002A8">
        <w:rPr>
          <w:rFonts w:ascii="Times New Roman" w:hAnsi="Times New Roman" w:cs="Times New Roman"/>
          <w:sz w:val="24"/>
          <w:szCs w:val="24"/>
        </w:rPr>
        <w:t xml:space="preserve"> EUR. U 2024. godini je ostvaren manjak od 8.306.960,77 EUR te je umanjen za 3.451.468,60 EUR zbog korekcije rezultata </w:t>
      </w:r>
      <w:r w:rsidRPr="005C179F">
        <w:rPr>
          <w:rFonts w:ascii="Times New Roman" w:hAnsi="Times New Roman" w:cs="Times New Roman"/>
          <w:sz w:val="24"/>
          <w:szCs w:val="24"/>
        </w:rPr>
        <w:t>za 2024. godinu</w:t>
      </w:r>
      <w:r w:rsidRPr="00B002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EBC3EC" w14:textId="2AAB91C6" w:rsidR="00B002A8" w:rsidRDefault="00B002A8" w:rsidP="00B002A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B002A8">
        <w:rPr>
          <w:rFonts w:ascii="Times New Roman" w:hAnsi="Times New Roman" w:cs="Times New Roman"/>
          <w:sz w:val="24"/>
          <w:szCs w:val="24"/>
        </w:rPr>
        <w:t>Manjak primitaka od financijske imovine (račun 92223) iz 2023. godine je sukladno Odluci o raspodjeli rezultata za 2023. godinu pokriven iz viška prihoda poslovanja u iznosu 6.366.909,01 EUR. U 2024. godini je ostvaren manjak primitaka od 8.533.024,44 EUR.</w:t>
      </w:r>
    </w:p>
    <w:p w14:paraId="10AFAEE0" w14:textId="77777777" w:rsidR="00B002A8" w:rsidRDefault="00B002A8" w:rsidP="0072614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9DB5EF5" w14:textId="77777777" w:rsidR="00B002A8" w:rsidRDefault="00B002A8" w:rsidP="0072614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FA67ACD" w14:textId="77777777" w:rsidR="00B002A8" w:rsidRDefault="00B002A8" w:rsidP="0072614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59ACE30" w14:textId="77777777" w:rsidR="00B002A8" w:rsidRDefault="00B002A8" w:rsidP="0072614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E1BED08" w14:textId="77777777" w:rsidR="00B002A8" w:rsidRDefault="00B002A8" w:rsidP="0072614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03581D2" w14:textId="77777777" w:rsidR="00914103" w:rsidRPr="00064C4E" w:rsidRDefault="00914103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6253E">
        <w:rPr>
          <w:rFonts w:ascii="Times New Roman" w:hAnsi="Times New Roman" w:cs="Times New Roman"/>
          <w:b/>
          <w:sz w:val="24"/>
          <w:szCs w:val="24"/>
        </w:rPr>
        <w:t>Obračunati rashodi poslovanja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C4E">
        <w:rPr>
          <w:rFonts w:ascii="Times New Roman" w:hAnsi="Times New Roman" w:cs="Times New Roman"/>
          <w:b/>
          <w:sz w:val="24"/>
          <w:szCs w:val="24"/>
        </w:rPr>
        <w:t>(93)</w:t>
      </w:r>
    </w:p>
    <w:p w14:paraId="381830D7" w14:textId="1A4ED317" w:rsidR="00064C4E" w:rsidRPr="00064C4E" w:rsidRDefault="000C2D9C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131687DE" w14:textId="77777777" w:rsidR="00914103" w:rsidRPr="009C6A3C" w:rsidRDefault="00914103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C6A3C">
        <w:rPr>
          <w:rFonts w:ascii="Times New Roman" w:hAnsi="Times New Roman" w:cs="Times New Roman"/>
          <w:b/>
          <w:sz w:val="24"/>
          <w:szCs w:val="24"/>
        </w:rPr>
        <w:t>Obračunati prihodi poslovanja</w:t>
      </w:r>
      <w:r w:rsidRPr="009C6A3C">
        <w:rPr>
          <w:rFonts w:ascii="Times New Roman" w:hAnsi="Times New Roman" w:cs="Times New Roman"/>
          <w:sz w:val="24"/>
          <w:szCs w:val="24"/>
        </w:rPr>
        <w:t xml:space="preserve"> </w:t>
      </w:r>
      <w:r w:rsidRPr="009C6A3C">
        <w:rPr>
          <w:rFonts w:ascii="Times New Roman" w:hAnsi="Times New Roman" w:cs="Times New Roman"/>
          <w:b/>
          <w:sz w:val="24"/>
          <w:szCs w:val="24"/>
        </w:rPr>
        <w:t>(96)</w:t>
      </w:r>
    </w:p>
    <w:p w14:paraId="25B8EB3F" w14:textId="5C327892" w:rsidR="00064C4E" w:rsidRPr="008774C0" w:rsidRDefault="009B2D41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5680A">
        <w:rPr>
          <w:rFonts w:ascii="Times New Roman" w:hAnsi="Times New Roman" w:cs="Times New Roman"/>
          <w:sz w:val="24"/>
          <w:szCs w:val="24"/>
        </w:rPr>
        <w:t xml:space="preserve">Obračunati prihodi poslovanja su umanjeni za </w:t>
      </w:r>
      <w:r w:rsidR="009C6A3C" w:rsidRPr="0015680A">
        <w:rPr>
          <w:rFonts w:ascii="Times New Roman" w:hAnsi="Times New Roman" w:cs="Times New Roman"/>
          <w:sz w:val="24"/>
          <w:szCs w:val="24"/>
        </w:rPr>
        <w:t xml:space="preserve">61,90 EUR </w:t>
      </w:r>
      <w:r w:rsidRPr="0015680A">
        <w:rPr>
          <w:rFonts w:ascii="Times New Roman" w:hAnsi="Times New Roman" w:cs="Times New Roman"/>
          <w:sz w:val="24"/>
          <w:szCs w:val="24"/>
        </w:rPr>
        <w:t>sukladno Odlu</w:t>
      </w:r>
      <w:r w:rsidR="009C6A3C" w:rsidRPr="0015680A">
        <w:rPr>
          <w:rFonts w:ascii="Times New Roman" w:hAnsi="Times New Roman" w:cs="Times New Roman"/>
          <w:sz w:val="24"/>
          <w:szCs w:val="24"/>
        </w:rPr>
        <w:t>ci</w:t>
      </w:r>
      <w:r w:rsidRPr="0015680A">
        <w:rPr>
          <w:rFonts w:ascii="Times New Roman" w:hAnsi="Times New Roman" w:cs="Times New Roman"/>
          <w:sz w:val="24"/>
          <w:szCs w:val="24"/>
        </w:rPr>
        <w:t xml:space="preserve"> Upravnog vijeća Lučke uprave Rijeka o otpisu potraživanja.</w:t>
      </w:r>
    </w:p>
    <w:p w14:paraId="42259558" w14:textId="77777777" w:rsidR="00914103" w:rsidRPr="00064C4E" w:rsidRDefault="00914103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6253E">
        <w:rPr>
          <w:rFonts w:ascii="Times New Roman" w:hAnsi="Times New Roman" w:cs="Times New Roman"/>
          <w:b/>
          <w:sz w:val="24"/>
          <w:szCs w:val="24"/>
        </w:rPr>
        <w:t>Obračunati prihodi od prodaje nefinancijske imovine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C4E">
        <w:rPr>
          <w:rFonts w:ascii="Times New Roman" w:hAnsi="Times New Roman" w:cs="Times New Roman"/>
          <w:b/>
          <w:sz w:val="24"/>
          <w:szCs w:val="24"/>
        </w:rPr>
        <w:t>(97)</w:t>
      </w:r>
    </w:p>
    <w:p w14:paraId="2CAA9FA7" w14:textId="1CDF514B" w:rsidR="00064C4E" w:rsidRPr="00064C4E" w:rsidRDefault="000C2D9C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28BBA515" w14:textId="77777777" w:rsidR="00914103" w:rsidRPr="00064C4E" w:rsidRDefault="00914103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6253E">
        <w:rPr>
          <w:rFonts w:ascii="Times New Roman" w:hAnsi="Times New Roman" w:cs="Times New Roman"/>
          <w:b/>
          <w:sz w:val="24"/>
          <w:szCs w:val="24"/>
        </w:rPr>
        <w:t>Rezerviranja viška prihoda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C4E">
        <w:rPr>
          <w:rFonts w:ascii="Times New Roman" w:hAnsi="Times New Roman" w:cs="Times New Roman"/>
          <w:b/>
          <w:sz w:val="24"/>
          <w:szCs w:val="24"/>
        </w:rPr>
        <w:t>(98)</w:t>
      </w:r>
    </w:p>
    <w:p w14:paraId="6CA397A5" w14:textId="7CBD6FEC" w:rsidR="00064C4E" w:rsidRPr="00064C4E" w:rsidRDefault="000C2D9C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5AFD9165" w14:textId="77777777" w:rsidR="001D4818" w:rsidRPr="00064C4E" w:rsidRDefault="001D4818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253E">
        <w:rPr>
          <w:rFonts w:ascii="Times New Roman" w:hAnsi="Times New Roman" w:cs="Times New Roman"/>
          <w:b/>
          <w:sz w:val="24"/>
          <w:szCs w:val="24"/>
        </w:rPr>
        <w:t>Izvanbilančni</w:t>
      </w:r>
      <w:proofErr w:type="spellEnd"/>
      <w:r w:rsidRPr="00B6253E">
        <w:rPr>
          <w:rFonts w:ascii="Times New Roman" w:hAnsi="Times New Roman" w:cs="Times New Roman"/>
          <w:b/>
          <w:sz w:val="24"/>
          <w:szCs w:val="24"/>
        </w:rPr>
        <w:t xml:space="preserve"> zapisi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C4E">
        <w:rPr>
          <w:rFonts w:ascii="Times New Roman" w:hAnsi="Times New Roman" w:cs="Times New Roman"/>
          <w:b/>
          <w:sz w:val="24"/>
          <w:szCs w:val="24"/>
        </w:rPr>
        <w:t>(99)</w:t>
      </w:r>
    </w:p>
    <w:p w14:paraId="7570E617" w14:textId="77777777" w:rsidR="00456B35" w:rsidRPr="00456B35" w:rsidRDefault="00456B35" w:rsidP="00456B3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456B35">
        <w:rPr>
          <w:rFonts w:ascii="Times New Roman" w:hAnsi="Times New Roman" w:cs="Times New Roman"/>
          <w:sz w:val="24"/>
          <w:szCs w:val="24"/>
        </w:rPr>
        <w:t>PREGLED UGOVORNIH ODNOSA I SLIČNO KOJI, UZ ISPUNJENJE ODREĐENIH UVJETA, MOGU POSTATI OBVEZA ILI IMOVINA (DANA KREDITNA PISMA, HIPOTEKE, SPOROVI NA SUDU KOJI SU U TIJEKU)</w:t>
      </w:r>
    </w:p>
    <w:p w14:paraId="4CBFC4A7" w14:textId="24063E7E" w:rsidR="00CC75C5" w:rsidRDefault="00456B35" w:rsidP="00456B3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456B35">
        <w:rPr>
          <w:rFonts w:ascii="Times New Roman" w:hAnsi="Times New Roman" w:cs="Times New Roman"/>
          <w:sz w:val="24"/>
          <w:szCs w:val="24"/>
        </w:rPr>
        <w:t xml:space="preserve">Sukladno članku 15. Pravilnika o financijskom izvještavanju u proračunskom računovodstvu obvezne Bilješke uz Bilancu su popis ugovornih odnosa koji uz određene uvjete mogu postati obveza ili imovina i  popis sudskih sporova u tijeku. </w:t>
      </w:r>
    </w:p>
    <w:p w14:paraId="2EDBD7EF" w14:textId="685E3D0E" w:rsidR="00456B35" w:rsidRDefault="009929A5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Pregled</w:t>
      </w:r>
      <w:r w:rsidR="00456B35" w:rsidRPr="00456B35">
        <w:rPr>
          <w:rFonts w:ascii="Times New Roman" w:hAnsi="Times New Roman" w:cs="Times New Roman"/>
          <w:sz w:val="24"/>
          <w:szCs w:val="24"/>
        </w:rPr>
        <w:t xml:space="preserve"> sporova </w:t>
      </w:r>
      <w:r w:rsidR="00AB5790">
        <w:rPr>
          <w:rFonts w:ascii="Times New Roman" w:hAnsi="Times New Roman" w:cs="Times New Roman"/>
          <w:sz w:val="24"/>
          <w:szCs w:val="24"/>
        </w:rPr>
        <w:t xml:space="preserve">Lučke uprave Rijeka </w:t>
      </w:r>
      <w:r w:rsidR="00456B35" w:rsidRPr="00456B35">
        <w:rPr>
          <w:rFonts w:ascii="Times New Roman" w:hAnsi="Times New Roman" w:cs="Times New Roman"/>
          <w:sz w:val="24"/>
          <w:szCs w:val="24"/>
        </w:rPr>
        <w:t>koji su u tijeku prikazujemo u sljedećoj tablici:</w:t>
      </w:r>
    </w:p>
    <w:p w14:paraId="718FFADA" w14:textId="33EBA99A" w:rsidR="00456B35" w:rsidRDefault="001025BB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025BB">
        <w:rPr>
          <w:noProof/>
        </w:rPr>
        <w:drawing>
          <wp:inline distT="0" distB="0" distL="0" distR="0" wp14:anchorId="5AFCB0AB" wp14:editId="243E7945">
            <wp:extent cx="6120130" cy="3145155"/>
            <wp:effectExtent l="0" t="0" r="0" b="0"/>
            <wp:docPr id="3980149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4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B9448" w14:textId="13ABAC25" w:rsidR="006F6EB7" w:rsidRDefault="0091092C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Izvanbilančni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zapisi sadrže i instrumente osiguranja plaćanja, primljene garancije te primljene i izdane zadužnice. Primljene garancije koje su važeće na dan 31.12.202</w:t>
      </w:r>
      <w:r w:rsidR="00F25F3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 sažeto prikazujemo u sljedećoj tablici:</w:t>
      </w:r>
    </w:p>
    <w:p w14:paraId="2235E9BC" w14:textId="766A526E" w:rsidR="00A431F7" w:rsidRDefault="00C253B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C253BE">
        <w:rPr>
          <w:noProof/>
        </w:rPr>
        <w:drawing>
          <wp:inline distT="0" distB="0" distL="0" distR="0" wp14:anchorId="756AF418" wp14:editId="3386B8C5">
            <wp:extent cx="4480560" cy="1554480"/>
            <wp:effectExtent l="0" t="0" r="0" b="7620"/>
            <wp:docPr id="15961274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30940" w14:textId="47C97703" w:rsidR="0091092C" w:rsidRPr="00064C4E" w:rsidRDefault="0091092C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Garancije za razvoj u ukupnom iznosu od 35.000.000,00 EUR proizlaze iz </w:t>
      </w:r>
      <w:r w:rsidR="00A22C74">
        <w:rPr>
          <w:rFonts w:ascii="Times New Roman" w:hAnsi="Times New Roman" w:cs="Times New Roman"/>
          <w:sz w:val="24"/>
          <w:szCs w:val="24"/>
        </w:rPr>
        <w:t xml:space="preserve">Ugovora o koncesiji za razvoj i gospodarsko korištenje Zagreb </w:t>
      </w:r>
      <w:proofErr w:type="spellStart"/>
      <w:r w:rsidR="00A22C74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="00A2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C74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="00A22C74">
        <w:rPr>
          <w:rFonts w:ascii="Times New Roman" w:hAnsi="Times New Roman" w:cs="Times New Roman"/>
          <w:sz w:val="24"/>
          <w:szCs w:val="24"/>
        </w:rPr>
        <w:t xml:space="preserve"> kontejnerskog terminala u luci Rijeka sa koncesionarom – tvrtkom Rijeka </w:t>
      </w:r>
      <w:proofErr w:type="spellStart"/>
      <w:r w:rsidR="00A22C74">
        <w:rPr>
          <w:rFonts w:ascii="Times New Roman" w:hAnsi="Times New Roman" w:cs="Times New Roman"/>
          <w:sz w:val="24"/>
          <w:szCs w:val="24"/>
        </w:rPr>
        <w:t>Gateway</w:t>
      </w:r>
      <w:proofErr w:type="spellEnd"/>
      <w:r w:rsidR="00A22C74">
        <w:rPr>
          <w:rFonts w:ascii="Times New Roman" w:hAnsi="Times New Roman" w:cs="Times New Roman"/>
          <w:sz w:val="24"/>
          <w:szCs w:val="24"/>
        </w:rPr>
        <w:t xml:space="preserve"> d.o.o.</w:t>
      </w:r>
    </w:p>
    <w:p w14:paraId="1B7484AB" w14:textId="77777777" w:rsidR="008C3B3C" w:rsidRDefault="008C3B3C" w:rsidP="00036DEE">
      <w:pPr>
        <w:pStyle w:val="Heading1"/>
      </w:pPr>
      <w:bookmarkStart w:id="4" w:name="_Toc128989457"/>
    </w:p>
    <w:p w14:paraId="76F379E0" w14:textId="0DF2174C" w:rsidR="0069302A" w:rsidRPr="00614260" w:rsidRDefault="0069302A" w:rsidP="00036DEE">
      <w:pPr>
        <w:pStyle w:val="Heading1"/>
      </w:pPr>
      <w:r w:rsidRPr="00614260">
        <w:t>B I LJ E Š K E  U Z  O B R A Z A C  P R – R A S</w:t>
      </w:r>
      <w:bookmarkEnd w:id="4"/>
    </w:p>
    <w:p w14:paraId="7E904B2F" w14:textId="77777777" w:rsidR="008C3B3C" w:rsidRDefault="008C3B3C" w:rsidP="009F6E64">
      <w:pPr>
        <w:pStyle w:val="Heading2"/>
      </w:pPr>
      <w:bookmarkStart w:id="5" w:name="_Toc128989458"/>
    </w:p>
    <w:p w14:paraId="2D5666AD" w14:textId="600E3437" w:rsidR="00036DEE" w:rsidRDefault="006A7AD0" w:rsidP="009F6E64">
      <w:pPr>
        <w:pStyle w:val="Heading2"/>
      </w:pPr>
      <w:r w:rsidRPr="000C01F8">
        <w:t>P</w:t>
      </w:r>
      <w:r w:rsidR="00036DEE">
        <w:t xml:space="preserve"> </w:t>
      </w:r>
      <w:r w:rsidRPr="000C01F8">
        <w:t>R</w:t>
      </w:r>
      <w:r w:rsidR="00036DEE">
        <w:t xml:space="preserve"> </w:t>
      </w:r>
      <w:r w:rsidRPr="000C01F8">
        <w:t>I</w:t>
      </w:r>
      <w:r w:rsidR="00036DEE">
        <w:t xml:space="preserve"> </w:t>
      </w:r>
      <w:r w:rsidRPr="000C01F8">
        <w:t>H</w:t>
      </w:r>
      <w:r w:rsidR="00036DEE">
        <w:t xml:space="preserve"> </w:t>
      </w:r>
      <w:r w:rsidRPr="000C01F8">
        <w:t>O</w:t>
      </w:r>
      <w:r w:rsidR="00036DEE">
        <w:t xml:space="preserve"> </w:t>
      </w:r>
      <w:r w:rsidRPr="000C01F8">
        <w:t>D</w:t>
      </w:r>
      <w:r w:rsidR="00036DEE">
        <w:t xml:space="preserve"> </w:t>
      </w:r>
      <w:r w:rsidRPr="000C01F8">
        <w:t>I</w:t>
      </w:r>
      <w:bookmarkEnd w:id="5"/>
    </w:p>
    <w:p w14:paraId="1BF61B38" w14:textId="77777777" w:rsidR="008C3B3C" w:rsidRPr="008C3B3C" w:rsidRDefault="008C3B3C" w:rsidP="008C3B3C"/>
    <w:p w14:paraId="66ADD80E" w14:textId="77777777" w:rsidR="0069302A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253E">
        <w:rPr>
          <w:rFonts w:ascii="Times New Roman" w:hAnsi="Times New Roman" w:cs="Times New Roman"/>
          <w:b/>
          <w:sz w:val="24"/>
          <w:szCs w:val="24"/>
        </w:rPr>
        <w:t>Pomoći iz inozemstva i od subjekata unutar općeg proračuna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9D7">
        <w:rPr>
          <w:rFonts w:ascii="Times New Roman" w:hAnsi="Times New Roman" w:cs="Times New Roman"/>
          <w:b/>
          <w:sz w:val="24"/>
          <w:szCs w:val="24"/>
        </w:rPr>
        <w:t>(6</w:t>
      </w:r>
      <w:r w:rsidR="002F6EF6">
        <w:rPr>
          <w:rFonts w:ascii="Times New Roman" w:hAnsi="Times New Roman" w:cs="Times New Roman"/>
          <w:b/>
          <w:sz w:val="24"/>
          <w:szCs w:val="24"/>
        </w:rPr>
        <w:t>3</w:t>
      </w:r>
      <w:r w:rsidRPr="00D649D7">
        <w:rPr>
          <w:rFonts w:ascii="Times New Roman" w:hAnsi="Times New Roman" w:cs="Times New Roman"/>
          <w:b/>
          <w:sz w:val="24"/>
          <w:szCs w:val="24"/>
        </w:rPr>
        <w:t>)</w:t>
      </w:r>
    </w:p>
    <w:p w14:paraId="36468FCA" w14:textId="30D36C2D" w:rsidR="00064C4E" w:rsidRDefault="00CB3FC5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Ostvareni prihodi od pomoći iz inozemstva i unutar općeg proračuna odnose se na sljedeće projekte financirane uglavnom u okviru CEF i INTERREG programa</w:t>
      </w:r>
      <w:r w:rsidR="008A525E">
        <w:rPr>
          <w:rFonts w:ascii="Times New Roman" w:hAnsi="Times New Roman" w:cs="Times New Roman"/>
          <w:sz w:val="24"/>
          <w:szCs w:val="24"/>
        </w:rPr>
        <w:t xml:space="preserve"> (EUR)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57FAB2F" w14:textId="0F60E6B7" w:rsidR="003162C7" w:rsidRDefault="003162C7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3162C7">
        <w:rPr>
          <w:noProof/>
        </w:rPr>
        <w:lastRenderedPageBreak/>
        <w:drawing>
          <wp:inline distT="0" distB="0" distL="0" distR="0" wp14:anchorId="0DE6B05F" wp14:editId="10FE85D5">
            <wp:extent cx="6012180" cy="5311140"/>
            <wp:effectExtent l="0" t="0" r="7620" b="3810"/>
            <wp:docPr id="7696644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531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71824" w14:textId="3C2D4F0D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735FC29" w14:textId="77777777" w:rsidR="0069302A" w:rsidRPr="00D649D7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6253E">
        <w:rPr>
          <w:rFonts w:ascii="Times New Roman" w:hAnsi="Times New Roman" w:cs="Times New Roman"/>
          <w:b/>
          <w:sz w:val="24"/>
          <w:szCs w:val="24"/>
        </w:rPr>
        <w:t>Prihodi od imovine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9D7">
        <w:rPr>
          <w:rFonts w:ascii="Times New Roman" w:hAnsi="Times New Roman" w:cs="Times New Roman"/>
          <w:b/>
          <w:sz w:val="24"/>
          <w:szCs w:val="24"/>
        </w:rPr>
        <w:t>(64)</w:t>
      </w:r>
    </w:p>
    <w:p w14:paraId="7D179DFD" w14:textId="3E123F1D" w:rsidR="00064C4E" w:rsidRDefault="001423D8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financijske imovine proizlaze iz pozitivnih tečajnih razlika i zateznih kamata dok se prihodi od nefinancijske imovine odnose na fiksni i varijabilni dio naknada za koncesije.</w:t>
      </w:r>
    </w:p>
    <w:p w14:paraId="0E14DEBC" w14:textId="0731F315" w:rsidR="00036DEE" w:rsidRPr="00064C4E" w:rsidRDefault="00A91828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A91828">
        <w:rPr>
          <w:noProof/>
        </w:rPr>
        <w:drawing>
          <wp:inline distT="0" distB="0" distL="0" distR="0" wp14:anchorId="41572FE1" wp14:editId="3C439182">
            <wp:extent cx="3649980" cy="922020"/>
            <wp:effectExtent l="0" t="0" r="7620" b="0"/>
            <wp:docPr id="81549253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19475" w14:textId="77777777" w:rsidR="0069302A" w:rsidRPr="00D649D7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6253E">
        <w:rPr>
          <w:rFonts w:ascii="Times New Roman" w:hAnsi="Times New Roman" w:cs="Times New Roman"/>
          <w:b/>
          <w:sz w:val="24"/>
          <w:szCs w:val="24"/>
        </w:rPr>
        <w:t>Prihodi od upravnih i administrativnih pristojbi, pristojbi po posebnim propisima i naknada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9D7">
        <w:rPr>
          <w:rFonts w:ascii="Times New Roman" w:hAnsi="Times New Roman" w:cs="Times New Roman"/>
          <w:b/>
          <w:sz w:val="24"/>
          <w:szCs w:val="24"/>
        </w:rPr>
        <w:t>(65)</w:t>
      </w:r>
    </w:p>
    <w:p w14:paraId="24993541" w14:textId="626310B9" w:rsidR="00036DEE" w:rsidRDefault="00754B13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Najveće učešće u ovim prihodima imaju prihodi od pristojbi za upotrebu obale (</w:t>
      </w:r>
      <w:r w:rsidR="00E4390B">
        <w:rPr>
          <w:rFonts w:ascii="Times New Roman" w:hAnsi="Times New Roman" w:cs="Times New Roman"/>
          <w:sz w:val="24"/>
          <w:szCs w:val="24"/>
        </w:rPr>
        <w:t>u 2024.</w:t>
      </w:r>
      <w:r w:rsidR="00BB3634">
        <w:rPr>
          <w:rFonts w:ascii="Times New Roman" w:hAnsi="Times New Roman" w:cs="Times New Roman"/>
          <w:sz w:val="24"/>
          <w:szCs w:val="24"/>
        </w:rPr>
        <w:t xml:space="preserve"> godini</w:t>
      </w:r>
      <w:r w:rsidR="00E4390B">
        <w:rPr>
          <w:rFonts w:ascii="Times New Roman" w:hAnsi="Times New Roman" w:cs="Times New Roman"/>
          <w:sz w:val="24"/>
          <w:szCs w:val="24"/>
        </w:rPr>
        <w:t>:</w:t>
      </w:r>
      <w:r w:rsidR="00622E38" w:rsidRPr="00622E38">
        <w:rPr>
          <w:rFonts w:ascii="Times New Roman" w:hAnsi="Times New Roman" w:cs="Times New Roman"/>
          <w:sz w:val="24"/>
          <w:szCs w:val="24"/>
        </w:rPr>
        <w:t xml:space="preserve"> 4</w:t>
      </w:r>
      <w:r w:rsidR="00622E38">
        <w:rPr>
          <w:rFonts w:ascii="Times New Roman" w:hAnsi="Times New Roman" w:cs="Times New Roman"/>
          <w:sz w:val="24"/>
          <w:szCs w:val="24"/>
        </w:rPr>
        <w:t>.</w:t>
      </w:r>
      <w:r w:rsidR="00622E38" w:rsidRPr="00622E38">
        <w:rPr>
          <w:rFonts w:ascii="Times New Roman" w:hAnsi="Times New Roman" w:cs="Times New Roman"/>
          <w:sz w:val="24"/>
          <w:szCs w:val="24"/>
        </w:rPr>
        <w:t>881</w:t>
      </w:r>
      <w:r w:rsidR="00622E38">
        <w:rPr>
          <w:rFonts w:ascii="Times New Roman" w:hAnsi="Times New Roman" w:cs="Times New Roman"/>
          <w:sz w:val="24"/>
          <w:szCs w:val="24"/>
        </w:rPr>
        <w:t>.</w:t>
      </w:r>
      <w:r w:rsidR="00622E38" w:rsidRPr="00622E38">
        <w:rPr>
          <w:rFonts w:ascii="Times New Roman" w:hAnsi="Times New Roman" w:cs="Times New Roman"/>
          <w:sz w:val="24"/>
          <w:szCs w:val="24"/>
        </w:rPr>
        <w:t>964</w:t>
      </w:r>
      <w:r w:rsidR="00622E38">
        <w:rPr>
          <w:rFonts w:ascii="Times New Roman" w:hAnsi="Times New Roman" w:cs="Times New Roman"/>
          <w:sz w:val="24"/>
          <w:szCs w:val="24"/>
        </w:rPr>
        <w:t>,</w:t>
      </w:r>
      <w:r w:rsidR="00622E38" w:rsidRPr="00622E38">
        <w:rPr>
          <w:rFonts w:ascii="Times New Roman" w:hAnsi="Times New Roman" w:cs="Times New Roman"/>
          <w:sz w:val="24"/>
          <w:szCs w:val="24"/>
        </w:rPr>
        <w:t xml:space="preserve">93 </w:t>
      </w:r>
      <w:r>
        <w:rPr>
          <w:rFonts w:ascii="Times New Roman" w:hAnsi="Times New Roman" w:cs="Times New Roman"/>
          <w:sz w:val="24"/>
          <w:szCs w:val="24"/>
        </w:rPr>
        <w:t xml:space="preserve">EUR), a zatim slijede </w:t>
      </w:r>
      <w:r w:rsidR="00E97045">
        <w:rPr>
          <w:rFonts w:ascii="Times New Roman" w:hAnsi="Times New Roman" w:cs="Times New Roman"/>
          <w:sz w:val="24"/>
          <w:szCs w:val="24"/>
        </w:rPr>
        <w:t>ostale pristojbe i naknade (pristojbe za vez, odobrenja za ulaz na lučko područje, naknade za korištenje slobodne zone,</w:t>
      </w:r>
      <w:r w:rsidR="00622E38">
        <w:rPr>
          <w:rFonts w:ascii="Times New Roman" w:hAnsi="Times New Roman" w:cs="Times New Roman"/>
          <w:sz w:val="24"/>
          <w:szCs w:val="24"/>
        </w:rPr>
        <w:t xml:space="preserve"> brodske ležarine i sl.</w:t>
      </w:r>
      <w:r w:rsidR="00E97045">
        <w:rPr>
          <w:rFonts w:ascii="Times New Roman" w:hAnsi="Times New Roman" w:cs="Times New Roman"/>
          <w:sz w:val="24"/>
          <w:szCs w:val="24"/>
        </w:rPr>
        <w:t>).</w:t>
      </w:r>
    </w:p>
    <w:p w14:paraId="683DF9C8" w14:textId="22EB2D7D" w:rsidR="00057C2C" w:rsidRDefault="00E4390B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4390B">
        <w:rPr>
          <w:noProof/>
        </w:rPr>
        <w:lastRenderedPageBreak/>
        <w:drawing>
          <wp:inline distT="0" distB="0" distL="0" distR="0" wp14:anchorId="4E1CD4B8" wp14:editId="461B5DD2">
            <wp:extent cx="3893820" cy="922020"/>
            <wp:effectExtent l="0" t="0" r="0" b="0"/>
            <wp:docPr id="177602238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F036" w14:textId="77777777" w:rsidR="0069302A" w:rsidRPr="00D649D7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6253E">
        <w:rPr>
          <w:rFonts w:ascii="Times New Roman" w:hAnsi="Times New Roman" w:cs="Times New Roman"/>
          <w:b/>
          <w:sz w:val="24"/>
          <w:szCs w:val="24"/>
        </w:rPr>
        <w:t>Prihodi od prodaje proizvoda i robe te pruženih usluga, prihodi od donacija te povrati po protestiranim jamstvima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9D7">
        <w:rPr>
          <w:rFonts w:ascii="Times New Roman" w:hAnsi="Times New Roman" w:cs="Times New Roman"/>
          <w:b/>
          <w:sz w:val="24"/>
          <w:szCs w:val="24"/>
        </w:rPr>
        <w:t>(66)</w:t>
      </w:r>
    </w:p>
    <w:p w14:paraId="7DFA13AA" w14:textId="227AA539" w:rsidR="00064C4E" w:rsidRPr="006978A2" w:rsidRDefault="00F45B91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okviru ove pozicije iskazani su prihodi od </w:t>
      </w:r>
      <w:proofErr w:type="spellStart"/>
      <w:r>
        <w:rPr>
          <w:rFonts w:ascii="Times New Roman" w:hAnsi="Times New Roman" w:cs="Times New Roman"/>
          <w:sz w:val="24"/>
          <w:szCs w:val="24"/>
        </w:rPr>
        <w:t>prefakturiranja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struje (u 202</w:t>
      </w:r>
      <w:r w:rsidR="00BB36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.godini:</w:t>
      </w:r>
      <w:r w:rsidR="00BB3634">
        <w:rPr>
          <w:rFonts w:ascii="Times New Roman" w:hAnsi="Times New Roman" w:cs="Times New Roman"/>
          <w:sz w:val="24"/>
          <w:szCs w:val="24"/>
        </w:rPr>
        <w:t xml:space="preserve"> </w:t>
      </w:r>
      <w:r w:rsidR="00BB3634" w:rsidRPr="00BB3634">
        <w:rPr>
          <w:rFonts w:ascii="Times New Roman" w:hAnsi="Times New Roman" w:cs="Times New Roman"/>
          <w:sz w:val="24"/>
          <w:szCs w:val="24"/>
        </w:rPr>
        <w:t>415.573,89</w:t>
      </w:r>
      <w:r>
        <w:rPr>
          <w:rFonts w:ascii="Times New Roman" w:hAnsi="Times New Roman" w:cs="Times New Roman"/>
          <w:sz w:val="24"/>
          <w:szCs w:val="24"/>
        </w:rPr>
        <w:t xml:space="preserve"> EUR), prihodi ostvareni temeljem ugovora o poslovnoj suradnji (u 202</w:t>
      </w:r>
      <w:r w:rsidR="00BB36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godini: </w:t>
      </w:r>
      <w:r w:rsidR="00BB3634" w:rsidRPr="00BB3634">
        <w:rPr>
          <w:rFonts w:ascii="Times New Roman" w:hAnsi="Times New Roman" w:cs="Times New Roman"/>
          <w:sz w:val="24"/>
          <w:szCs w:val="24"/>
        </w:rPr>
        <w:t>305.599,29</w:t>
      </w:r>
      <w:r>
        <w:rPr>
          <w:rFonts w:ascii="Times New Roman" w:hAnsi="Times New Roman" w:cs="Times New Roman"/>
          <w:sz w:val="24"/>
          <w:szCs w:val="24"/>
        </w:rPr>
        <w:t xml:space="preserve"> EUR), prihodi od </w:t>
      </w:r>
      <w:proofErr w:type="spellStart"/>
      <w:r>
        <w:rPr>
          <w:rFonts w:ascii="Times New Roman" w:hAnsi="Times New Roman" w:cs="Times New Roman"/>
          <w:sz w:val="24"/>
          <w:szCs w:val="24"/>
        </w:rPr>
        <w:t>prefakturiranja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vode, komunalne naknade i ostali </w:t>
      </w:r>
      <w:bookmarkStart w:id="6" w:name="_Hlk189082106"/>
      <w:r>
        <w:rPr>
          <w:rFonts w:ascii="Times New Roman" w:hAnsi="Times New Roman" w:cs="Times New Roman"/>
          <w:sz w:val="24"/>
          <w:szCs w:val="24"/>
        </w:rPr>
        <w:t>prihodi.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659F13" w14:textId="689CACE6" w:rsidR="006978A2" w:rsidRDefault="006978A2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6978A2">
        <w:rPr>
          <w:noProof/>
        </w:rPr>
        <w:drawing>
          <wp:inline distT="0" distB="0" distL="0" distR="0" wp14:anchorId="411761B0" wp14:editId="575B6774">
            <wp:extent cx="3893820" cy="1264920"/>
            <wp:effectExtent l="0" t="0" r="0" b="0"/>
            <wp:docPr id="56015665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33883" w14:textId="207B9ACB" w:rsidR="00BB3634" w:rsidRDefault="006978A2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Pored toga, u 2024. godini je na ovoj poziciji iskazana primljena donacija </w:t>
      </w:r>
      <w:r w:rsidR="00D03F1D">
        <w:rPr>
          <w:rFonts w:ascii="Times New Roman" w:hAnsi="Times New Roman" w:cs="Times New Roman"/>
          <w:sz w:val="24"/>
          <w:szCs w:val="24"/>
        </w:rPr>
        <w:t xml:space="preserve">od tvrtke ACI-GITONE d.o.o. </w:t>
      </w:r>
      <w:r>
        <w:rPr>
          <w:rFonts w:ascii="Times New Roman" w:hAnsi="Times New Roman" w:cs="Times New Roman"/>
          <w:sz w:val="24"/>
          <w:szCs w:val="24"/>
        </w:rPr>
        <w:t xml:space="preserve">u iznosu od 76.239,56 EUR </w:t>
      </w:r>
      <w:r w:rsidR="00D03F1D">
        <w:rPr>
          <w:rFonts w:ascii="Times New Roman" w:hAnsi="Times New Roman" w:cs="Times New Roman"/>
          <w:sz w:val="24"/>
          <w:szCs w:val="24"/>
        </w:rPr>
        <w:t xml:space="preserve">u svrhu izgradnje tlačnog priključka sanitarne kanalizacije za potrebe LNT „Porto </w:t>
      </w:r>
      <w:proofErr w:type="spellStart"/>
      <w:r w:rsidR="00D03F1D">
        <w:rPr>
          <w:rFonts w:ascii="Times New Roman" w:hAnsi="Times New Roman" w:cs="Times New Roman"/>
          <w:sz w:val="24"/>
          <w:szCs w:val="24"/>
        </w:rPr>
        <w:t>Baroš</w:t>
      </w:r>
      <w:proofErr w:type="spellEnd"/>
      <w:r w:rsidR="00D03F1D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669B1701" w14:textId="77777777" w:rsidR="0069302A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iz nadležnog proračuna i od HZZO-a na temelju ugovornih obveza </w:t>
      </w:r>
      <w:r w:rsidRPr="00D649D7">
        <w:rPr>
          <w:rFonts w:ascii="Times New Roman" w:hAnsi="Times New Roman" w:cs="Times New Roman"/>
          <w:b/>
          <w:sz w:val="24"/>
          <w:szCs w:val="24"/>
        </w:rPr>
        <w:t>(67)</w:t>
      </w:r>
    </w:p>
    <w:p w14:paraId="66CE6564" w14:textId="52EAB79F" w:rsidR="00064C4E" w:rsidRDefault="00BF08A5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Najveći udio u ovim prihodima u 202</w:t>
      </w:r>
      <w:r w:rsidR="00164A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 imaju prihodi </w:t>
      </w:r>
      <w:r w:rsidR="00701857">
        <w:rPr>
          <w:rFonts w:ascii="Times New Roman" w:hAnsi="Times New Roman" w:cs="Times New Roman"/>
          <w:sz w:val="24"/>
          <w:szCs w:val="24"/>
        </w:rPr>
        <w:t>iz izvora financiranja 11 za otplatu IBRD zajma br. 7638 HR (5.</w:t>
      </w:r>
      <w:r w:rsidR="00164A92">
        <w:rPr>
          <w:rFonts w:ascii="Times New Roman" w:hAnsi="Times New Roman" w:cs="Times New Roman"/>
          <w:sz w:val="24"/>
          <w:szCs w:val="24"/>
        </w:rPr>
        <w:t>601.467</w:t>
      </w:r>
      <w:r w:rsidR="00701857">
        <w:rPr>
          <w:rFonts w:ascii="Times New Roman" w:hAnsi="Times New Roman" w:cs="Times New Roman"/>
          <w:sz w:val="24"/>
          <w:szCs w:val="24"/>
        </w:rPr>
        <w:t>,2</w:t>
      </w:r>
      <w:r w:rsidR="00164A92">
        <w:rPr>
          <w:rFonts w:ascii="Times New Roman" w:hAnsi="Times New Roman" w:cs="Times New Roman"/>
          <w:sz w:val="24"/>
          <w:szCs w:val="24"/>
        </w:rPr>
        <w:t>7</w:t>
      </w:r>
      <w:r w:rsidR="00701857">
        <w:rPr>
          <w:rFonts w:ascii="Times New Roman" w:hAnsi="Times New Roman" w:cs="Times New Roman"/>
          <w:sz w:val="24"/>
          <w:szCs w:val="24"/>
        </w:rPr>
        <w:t xml:space="preserve"> EUR) te za plaćanje kamate po istom zajmu (</w:t>
      </w:r>
      <w:r w:rsidR="00164A92" w:rsidRPr="00164A92">
        <w:rPr>
          <w:rFonts w:ascii="Times New Roman" w:hAnsi="Times New Roman" w:cs="Times New Roman"/>
          <w:sz w:val="24"/>
          <w:szCs w:val="24"/>
        </w:rPr>
        <w:t>1</w:t>
      </w:r>
      <w:r w:rsidR="00164A92">
        <w:rPr>
          <w:rFonts w:ascii="Times New Roman" w:hAnsi="Times New Roman" w:cs="Times New Roman"/>
          <w:sz w:val="24"/>
          <w:szCs w:val="24"/>
        </w:rPr>
        <w:t>.</w:t>
      </w:r>
      <w:r w:rsidR="00164A92" w:rsidRPr="00164A92">
        <w:rPr>
          <w:rFonts w:ascii="Times New Roman" w:hAnsi="Times New Roman" w:cs="Times New Roman"/>
          <w:sz w:val="24"/>
          <w:szCs w:val="24"/>
        </w:rPr>
        <w:t>265</w:t>
      </w:r>
      <w:r w:rsidR="00164A92">
        <w:rPr>
          <w:rFonts w:ascii="Times New Roman" w:hAnsi="Times New Roman" w:cs="Times New Roman"/>
          <w:sz w:val="24"/>
          <w:szCs w:val="24"/>
        </w:rPr>
        <w:t>.</w:t>
      </w:r>
      <w:r w:rsidR="00164A92" w:rsidRPr="00164A92">
        <w:rPr>
          <w:rFonts w:ascii="Times New Roman" w:hAnsi="Times New Roman" w:cs="Times New Roman"/>
          <w:sz w:val="24"/>
          <w:szCs w:val="24"/>
        </w:rPr>
        <w:t>446</w:t>
      </w:r>
      <w:r w:rsidR="00164A92">
        <w:rPr>
          <w:rFonts w:ascii="Times New Roman" w:hAnsi="Times New Roman" w:cs="Times New Roman"/>
          <w:sz w:val="24"/>
          <w:szCs w:val="24"/>
        </w:rPr>
        <w:t>,00</w:t>
      </w:r>
      <w:r w:rsidR="00164A92" w:rsidRPr="00164A92">
        <w:rPr>
          <w:rFonts w:ascii="Times New Roman" w:hAnsi="Times New Roman" w:cs="Times New Roman"/>
          <w:sz w:val="24"/>
          <w:szCs w:val="24"/>
        </w:rPr>
        <w:t xml:space="preserve"> </w:t>
      </w:r>
      <w:r w:rsidR="00701857">
        <w:rPr>
          <w:rFonts w:ascii="Times New Roman" w:hAnsi="Times New Roman" w:cs="Times New Roman"/>
          <w:sz w:val="24"/>
          <w:szCs w:val="24"/>
        </w:rPr>
        <w:t xml:space="preserve"> EUR)</w:t>
      </w:r>
      <w:r w:rsidR="00561E9B">
        <w:rPr>
          <w:rFonts w:ascii="Times New Roman" w:hAnsi="Times New Roman" w:cs="Times New Roman"/>
          <w:sz w:val="24"/>
          <w:szCs w:val="24"/>
        </w:rPr>
        <w:t>,</w:t>
      </w:r>
      <w:r w:rsidR="00701857">
        <w:rPr>
          <w:rFonts w:ascii="Times New Roman" w:hAnsi="Times New Roman" w:cs="Times New Roman"/>
          <w:sz w:val="24"/>
          <w:szCs w:val="24"/>
        </w:rPr>
        <w:t xml:space="preserve"> dok se preostali prihodi </w:t>
      </w:r>
      <w:r w:rsidR="00EC63AB">
        <w:rPr>
          <w:rFonts w:ascii="Times New Roman" w:hAnsi="Times New Roman" w:cs="Times New Roman"/>
          <w:sz w:val="24"/>
          <w:szCs w:val="24"/>
        </w:rPr>
        <w:t xml:space="preserve">uglavnom </w:t>
      </w:r>
      <w:r w:rsidR="00701857">
        <w:rPr>
          <w:rFonts w:ascii="Times New Roman" w:hAnsi="Times New Roman" w:cs="Times New Roman"/>
          <w:sz w:val="24"/>
          <w:szCs w:val="24"/>
        </w:rPr>
        <w:t>odnose na financiranje CEF projekta produbljenja južnog veza na kontejnerskom terminalu Jadranska vrata (</w:t>
      </w:r>
      <w:r w:rsidR="00164A92">
        <w:rPr>
          <w:rFonts w:ascii="Times New Roman" w:hAnsi="Times New Roman" w:cs="Times New Roman"/>
          <w:sz w:val="24"/>
          <w:szCs w:val="24"/>
        </w:rPr>
        <w:t>1.500.075,00</w:t>
      </w:r>
      <w:r w:rsidR="00701857">
        <w:rPr>
          <w:rFonts w:ascii="Times New Roman" w:hAnsi="Times New Roman" w:cs="Times New Roman"/>
          <w:sz w:val="24"/>
          <w:szCs w:val="24"/>
        </w:rPr>
        <w:t xml:space="preserve"> EUR). </w:t>
      </w:r>
    </w:p>
    <w:p w14:paraId="79015F0A" w14:textId="73FBDC77" w:rsidR="00BF08A5" w:rsidRDefault="00164A92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64A92">
        <w:rPr>
          <w:noProof/>
        </w:rPr>
        <w:drawing>
          <wp:inline distT="0" distB="0" distL="0" distR="0" wp14:anchorId="605F41F5" wp14:editId="02B4FA88">
            <wp:extent cx="5021580" cy="1653540"/>
            <wp:effectExtent l="0" t="0" r="7620" b="3810"/>
            <wp:docPr id="16450683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3CDD6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6253E">
        <w:rPr>
          <w:rFonts w:ascii="Times New Roman" w:hAnsi="Times New Roman" w:cs="Times New Roman"/>
          <w:b/>
          <w:sz w:val="24"/>
          <w:szCs w:val="24"/>
        </w:rPr>
        <w:t>Kazne, upravne mjere i ostali prihodi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9D7">
        <w:rPr>
          <w:rFonts w:ascii="Times New Roman" w:hAnsi="Times New Roman" w:cs="Times New Roman"/>
          <w:b/>
          <w:sz w:val="24"/>
          <w:szCs w:val="24"/>
        </w:rPr>
        <w:t>(68)</w:t>
      </w:r>
    </w:p>
    <w:p w14:paraId="7B711A55" w14:textId="1AA4E9A0" w:rsidR="00036DEE" w:rsidRPr="00036DEE" w:rsidRDefault="00202190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15212547" w14:textId="77777777" w:rsidR="000D58E1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253E">
        <w:rPr>
          <w:rFonts w:ascii="Times New Roman" w:hAnsi="Times New Roman" w:cs="Times New Roman"/>
          <w:b/>
          <w:sz w:val="24"/>
          <w:szCs w:val="24"/>
        </w:rPr>
        <w:t>Prihodi od prodaje nefinancijske imovine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9D7">
        <w:rPr>
          <w:rFonts w:ascii="Times New Roman" w:hAnsi="Times New Roman" w:cs="Times New Roman"/>
          <w:b/>
          <w:sz w:val="24"/>
          <w:szCs w:val="24"/>
        </w:rPr>
        <w:t>(7)</w:t>
      </w:r>
    </w:p>
    <w:p w14:paraId="16C6CEBA" w14:textId="0DB26B20" w:rsidR="00036DEE" w:rsidRPr="00064C4E" w:rsidRDefault="00277574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63F5854B" w14:textId="77777777" w:rsidR="001D4818" w:rsidRDefault="001D4818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253E">
        <w:rPr>
          <w:rFonts w:ascii="Times New Roman" w:hAnsi="Times New Roman" w:cs="Times New Roman"/>
          <w:b/>
          <w:sz w:val="24"/>
          <w:szCs w:val="24"/>
        </w:rPr>
        <w:t xml:space="preserve">Prihodi od prodaje </w:t>
      </w:r>
      <w:proofErr w:type="spellStart"/>
      <w:r w:rsidRPr="00B6253E">
        <w:rPr>
          <w:rFonts w:ascii="Times New Roman" w:hAnsi="Times New Roman" w:cs="Times New Roman"/>
          <w:b/>
          <w:sz w:val="24"/>
          <w:szCs w:val="24"/>
        </w:rPr>
        <w:t>neproizvedene</w:t>
      </w:r>
      <w:proofErr w:type="spellEnd"/>
      <w:r w:rsidRPr="00B6253E">
        <w:rPr>
          <w:rFonts w:ascii="Times New Roman" w:hAnsi="Times New Roman" w:cs="Times New Roman"/>
          <w:b/>
          <w:sz w:val="24"/>
          <w:szCs w:val="24"/>
        </w:rPr>
        <w:t xml:space="preserve"> dugotrajne imovine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9D7">
        <w:rPr>
          <w:rFonts w:ascii="Times New Roman" w:hAnsi="Times New Roman" w:cs="Times New Roman"/>
          <w:b/>
          <w:sz w:val="24"/>
          <w:szCs w:val="24"/>
        </w:rPr>
        <w:t>(71)</w:t>
      </w:r>
    </w:p>
    <w:p w14:paraId="01B7D414" w14:textId="423D62FB" w:rsidR="00036DEE" w:rsidRPr="00064C4E" w:rsidRDefault="00277574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044FC548" w14:textId="77777777" w:rsidR="001D4818" w:rsidRPr="00D649D7" w:rsidRDefault="001D4818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6253E">
        <w:rPr>
          <w:rFonts w:ascii="Times New Roman" w:hAnsi="Times New Roman" w:cs="Times New Roman"/>
          <w:b/>
          <w:sz w:val="24"/>
          <w:szCs w:val="24"/>
        </w:rPr>
        <w:lastRenderedPageBreak/>
        <w:t>Prihodi od prodaje proizvedene dugotrajne imovine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9D7">
        <w:rPr>
          <w:rFonts w:ascii="Times New Roman" w:hAnsi="Times New Roman" w:cs="Times New Roman"/>
          <w:b/>
          <w:sz w:val="24"/>
          <w:szCs w:val="24"/>
        </w:rPr>
        <w:t>(72)</w:t>
      </w:r>
    </w:p>
    <w:p w14:paraId="3173A3D6" w14:textId="014D6DBB" w:rsidR="004F6DF2" w:rsidRPr="00064C4E" w:rsidRDefault="00277574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3C6120F7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6253E">
        <w:rPr>
          <w:rFonts w:ascii="Times New Roman" w:hAnsi="Times New Roman" w:cs="Times New Roman"/>
          <w:b/>
          <w:sz w:val="24"/>
          <w:szCs w:val="24"/>
        </w:rPr>
        <w:t>Primici od zaduživanja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9D7">
        <w:rPr>
          <w:rFonts w:ascii="Times New Roman" w:hAnsi="Times New Roman" w:cs="Times New Roman"/>
          <w:b/>
          <w:sz w:val="24"/>
          <w:szCs w:val="24"/>
        </w:rPr>
        <w:t>(84)</w:t>
      </w:r>
    </w:p>
    <w:p w14:paraId="5D8BD741" w14:textId="76966736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8CDD3DE" w14:textId="77777777" w:rsidR="00680392" w:rsidRDefault="00680392" w:rsidP="00036DEE">
      <w:pPr>
        <w:pStyle w:val="Heading2"/>
      </w:pPr>
      <w:bookmarkStart w:id="7" w:name="_Toc128989459"/>
    </w:p>
    <w:p w14:paraId="734DC92F" w14:textId="5F7C9205" w:rsidR="00036DEE" w:rsidRPr="00036DEE" w:rsidRDefault="006A7AD0" w:rsidP="00B6253E">
      <w:pPr>
        <w:pStyle w:val="Heading2"/>
      </w:pPr>
      <w:r w:rsidRPr="00614260">
        <w:t>R</w:t>
      </w:r>
      <w:r w:rsidR="00036DEE">
        <w:t xml:space="preserve"> </w:t>
      </w:r>
      <w:r w:rsidRPr="00614260">
        <w:t>A</w:t>
      </w:r>
      <w:r w:rsidR="00036DEE">
        <w:t xml:space="preserve"> </w:t>
      </w:r>
      <w:r w:rsidRPr="00614260">
        <w:t>S</w:t>
      </w:r>
      <w:r w:rsidR="00036DEE">
        <w:t xml:space="preserve"> </w:t>
      </w:r>
      <w:r w:rsidRPr="00614260">
        <w:t>H</w:t>
      </w:r>
      <w:r w:rsidR="00036DEE">
        <w:t xml:space="preserve"> </w:t>
      </w:r>
      <w:r w:rsidRPr="00614260">
        <w:t>O</w:t>
      </w:r>
      <w:r w:rsidR="00036DEE">
        <w:t xml:space="preserve"> </w:t>
      </w:r>
      <w:r w:rsidRPr="00614260">
        <w:t>D</w:t>
      </w:r>
      <w:r w:rsidR="00036DEE">
        <w:t xml:space="preserve"> </w:t>
      </w:r>
      <w:r w:rsidRPr="00614260">
        <w:t>I</w:t>
      </w:r>
      <w:bookmarkEnd w:id="7"/>
    </w:p>
    <w:p w14:paraId="0A2C1261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6253E">
        <w:rPr>
          <w:rFonts w:ascii="Times New Roman" w:hAnsi="Times New Roman" w:cs="Times New Roman"/>
          <w:b/>
          <w:sz w:val="24"/>
          <w:szCs w:val="24"/>
        </w:rPr>
        <w:t>Rashodi za zaposlene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9D7">
        <w:rPr>
          <w:rFonts w:ascii="Times New Roman" w:hAnsi="Times New Roman" w:cs="Times New Roman"/>
          <w:b/>
          <w:sz w:val="24"/>
          <w:szCs w:val="24"/>
        </w:rPr>
        <w:t>(31)</w:t>
      </w:r>
    </w:p>
    <w:p w14:paraId="1A0AC5B4" w14:textId="61D13D10" w:rsidR="00317D07" w:rsidRPr="00317D07" w:rsidRDefault="007A1740" w:rsidP="00317D0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</w:t>
      </w:r>
      <w:r w:rsidR="00047ED1">
        <w:rPr>
          <w:rFonts w:ascii="Times New Roman" w:hAnsi="Times New Roman" w:cs="Times New Roman"/>
          <w:sz w:val="24"/>
          <w:szCs w:val="24"/>
        </w:rPr>
        <w:t xml:space="preserve">zaposlene su </w:t>
      </w:r>
      <w:r>
        <w:rPr>
          <w:rFonts w:ascii="Times New Roman" w:hAnsi="Times New Roman" w:cs="Times New Roman"/>
          <w:sz w:val="24"/>
          <w:szCs w:val="24"/>
        </w:rPr>
        <w:t>u 202</w:t>
      </w:r>
      <w:r w:rsidR="005E13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 veći </w:t>
      </w:r>
      <w:r w:rsidR="00047ED1">
        <w:rPr>
          <w:rFonts w:ascii="Times New Roman" w:hAnsi="Times New Roman" w:cs="Times New Roman"/>
          <w:sz w:val="24"/>
          <w:szCs w:val="24"/>
        </w:rPr>
        <w:t xml:space="preserve">u odnosu na prethodnu </w:t>
      </w:r>
      <w:r w:rsidR="0040612E">
        <w:rPr>
          <w:rFonts w:ascii="Times New Roman" w:hAnsi="Times New Roman" w:cs="Times New Roman"/>
          <w:sz w:val="24"/>
          <w:szCs w:val="24"/>
        </w:rPr>
        <w:t>godinu</w:t>
      </w:r>
      <w:r w:rsidR="00317D07">
        <w:rPr>
          <w:rFonts w:ascii="Times New Roman" w:hAnsi="Times New Roman" w:cs="Times New Roman"/>
          <w:sz w:val="24"/>
          <w:szCs w:val="24"/>
        </w:rPr>
        <w:t xml:space="preserve"> </w:t>
      </w:r>
      <w:r w:rsidR="00317D07" w:rsidRPr="00317D07">
        <w:rPr>
          <w:rFonts w:ascii="Times New Roman" w:hAnsi="Times New Roman" w:cs="Times New Roman"/>
          <w:sz w:val="24"/>
          <w:szCs w:val="24"/>
        </w:rPr>
        <w:t>zbog usklađenja obračuna plaća sukladno Zakonu o plaćama u državnoj službi i javnim službama i pripadajućim podzakonskim propisima</w:t>
      </w:r>
      <w:r w:rsidR="00317D07">
        <w:rPr>
          <w:rFonts w:ascii="Times New Roman" w:hAnsi="Times New Roman" w:cs="Times New Roman"/>
          <w:sz w:val="24"/>
          <w:szCs w:val="24"/>
        </w:rPr>
        <w:t xml:space="preserve">, </w:t>
      </w:r>
      <w:r w:rsidR="00317D07" w:rsidRPr="00317D07">
        <w:rPr>
          <w:rFonts w:ascii="Times New Roman" w:hAnsi="Times New Roman" w:cs="Times New Roman"/>
          <w:sz w:val="24"/>
          <w:szCs w:val="24"/>
        </w:rPr>
        <w:t xml:space="preserve">zbog isplata </w:t>
      </w:r>
      <w:r w:rsidR="00317D07">
        <w:rPr>
          <w:rFonts w:ascii="Times New Roman" w:hAnsi="Times New Roman" w:cs="Times New Roman"/>
          <w:sz w:val="24"/>
          <w:szCs w:val="24"/>
        </w:rPr>
        <w:t xml:space="preserve">pomoći i </w:t>
      </w:r>
      <w:r w:rsidR="00317D07" w:rsidRPr="00317D07">
        <w:rPr>
          <w:rFonts w:ascii="Times New Roman" w:hAnsi="Times New Roman" w:cs="Times New Roman"/>
          <w:sz w:val="24"/>
          <w:szCs w:val="24"/>
        </w:rPr>
        <w:t>otpremnina djelatnicima povodom odlaska u mirovinu.</w:t>
      </w:r>
    </w:p>
    <w:p w14:paraId="051BDFFD" w14:textId="79B08E69" w:rsidR="007A1740" w:rsidRDefault="005E133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5E133E">
        <w:rPr>
          <w:noProof/>
        </w:rPr>
        <w:drawing>
          <wp:inline distT="0" distB="0" distL="0" distR="0" wp14:anchorId="70C77D75" wp14:editId="2393D71F">
            <wp:extent cx="3810000" cy="1104900"/>
            <wp:effectExtent l="0" t="0" r="0" b="0"/>
            <wp:docPr id="7404650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5348D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6253E">
        <w:rPr>
          <w:rFonts w:ascii="Times New Roman" w:hAnsi="Times New Roman" w:cs="Times New Roman"/>
          <w:b/>
          <w:sz w:val="24"/>
          <w:szCs w:val="24"/>
        </w:rPr>
        <w:t>Materijalni rashodi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9D7">
        <w:rPr>
          <w:rFonts w:ascii="Times New Roman" w:hAnsi="Times New Roman" w:cs="Times New Roman"/>
          <w:b/>
          <w:sz w:val="24"/>
          <w:szCs w:val="24"/>
        </w:rPr>
        <w:t>(32)</w:t>
      </w:r>
    </w:p>
    <w:p w14:paraId="3A1E0846" w14:textId="48823832" w:rsidR="004F6DF2" w:rsidRDefault="00397FA7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usluge imaju najveće učešće (</w:t>
      </w:r>
      <w:r w:rsidR="00827005">
        <w:rPr>
          <w:rFonts w:ascii="Times New Roman" w:hAnsi="Times New Roman" w:cs="Times New Roman"/>
          <w:sz w:val="24"/>
          <w:szCs w:val="24"/>
        </w:rPr>
        <w:t xml:space="preserve">u 2024. godini: </w:t>
      </w:r>
      <w:r>
        <w:rPr>
          <w:rFonts w:ascii="Times New Roman" w:hAnsi="Times New Roman" w:cs="Times New Roman"/>
          <w:sz w:val="24"/>
          <w:szCs w:val="24"/>
        </w:rPr>
        <w:t>8</w:t>
      </w:r>
      <w:r w:rsidR="00E450BC">
        <w:rPr>
          <w:rFonts w:ascii="Times New Roman" w:hAnsi="Times New Roman" w:cs="Times New Roman"/>
          <w:sz w:val="24"/>
          <w:szCs w:val="24"/>
        </w:rPr>
        <w:t>6,5</w:t>
      </w:r>
      <w:r>
        <w:rPr>
          <w:rFonts w:ascii="Times New Roman" w:hAnsi="Times New Roman" w:cs="Times New Roman"/>
          <w:sz w:val="24"/>
          <w:szCs w:val="24"/>
        </w:rPr>
        <w:t xml:space="preserve">%) u </w:t>
      </w:r>
      <w:r w:rsidR="00E2086D">
        <w:rPr>
          <w:rFonts w:ascii="Times New Roman" w:hAnsi="Times New Roman" w:cs="Times New Roman"/>
          <w:sz w:val="24"/>
          <w:szCs w:val="24"/>
        </w:rPr>
        <w:t xml:space="preserve">ukupnim </w:t>
      </w:r>
      <w:r>
        <w:rPr>
          <w:rFonts w:ascii="Times New Roman" w:hAnsi="Times New Roman" w:cs="Times New Roman"/>
          <w:sz w:val="24"/>
          <w:szCs w:val="24"/>
        </w:rPr>
        <w:t>materijalnim rashodi</w:t>
      </w:r>
      <w:r w:rsidR="00612B2A">
        <w:rPr>
          <w:rFonts w:ascii="Times New Roman" w:hAnsi="Times New Roman" w:cs="Times New Roman"/>
          <w:sz w:val="24"/>
          <w:szCs w:val="24"/>
        </w:rPr>
        <w:t>ma, u 202</w:t>
      </w:r>
      <w:r w:rsidR="00E450BC">
        <w:rPr>
          <w:rFonts w:ascii="Times New Roman" w:hAnsi="Times New Roman" w:cs="Times New Roman"/>
          <w:sz w:val="24"/>
          <w:szCs w:val="24"/>
        </w:rPr>
        <w:t>4</w:t>
      </w:r>
      <w:r w:rsidR="00612B2A">
        <w:rPr>
          <w:rFonts w:ascii="Times New Roman" w:hAnsi="Times New Roman" w:cs="Times New Roman"/>
          <w:sz w:val="24"/>
          <w:szCs w:val="24"/>
        </w:rPr>
        <w:t>. godini se među njima po vrijednosti izdvajaju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86D">
        <w:rPr>
          <w:rFonts w:ascii="Times New Roman" w:hAnsi="Times New Roman" w:cs="Times New Roman"/>
          <w:sz w:val="24"/>
          <w:szCs w:val="24"/>
        </w:rPr>
        <w:t>uslug</w:t>
      </w:r>
      <w:r w:rsidR="00612B2A">
        <w:rPr>
          <w:rFonts w:ascii="Times New Roman" w:hAnsi="Times New Roman" w:cs="Times New Roman"/>
          <w:sz w:val="24"/>
          <w:szCs w:val="24"/>
        </w:rPr>
        <w:t>e</w:t>
      </w:r>
      <w:r w:rsidR="00E2086D">
        <w:rPr>
          <w:rFonts w:ascii="Times New Roman" w:hAnsi="Times New Roman" w:cs="Times New Roman"/>
          <w:sz w:val="24"/>
          <w:szCs w:val="24"/>
        </w:rPr>
        <w:t xml:space="preserve"> tekućeg i investicijskog održavanja </w:t>
      </w:r>
      <w:r w:rsidR="00E2086D" w:rsidRPr="00207C02">
        <w:rPr>
          <w:rFonts w:ascii="Times New Roman" w:hAnsi="Times New Roman" w:cs="Times New Roman"/>
          <w:sz w:val="24"/>
          <w:szCs w:val="24"/>
        </w:rPr>
        <w:t>(</w:t>
      </w:r>
      <w:r w:rsidR="00E450BC" w:rsidRPr="00207C02">
        <w:rPr>
          <w:rFonts w:ascii="Times New Roman" w:hAnsi="Times New Roman" w:cs="Times New Roman"/>
          <w:sz w:val="24"/>
          <w:szCs w:val="24"/>
        </w:rPr>
        <w:t xml:space="preserve">2.337.012,88 </w:t>
      </w:r>
      <w:r w:rsidR="00E2086D" w:rsidRPr="00207C02">
        <w:rPr>
          <w:rFonts w:ascii="Times New Roman" w:hAnsi="Times New Roman" w:cs="Times New Roman"/>
          <w:sz w:val="24"/>
          <w:szCs w:val="24"/>
        </w:rPr>
        <w:t xml:space="preserve">EUR), </w:t>
      </w:r>
      <w:r w:rsidRPr="000830C9">
        <w:rPr>
          <w:rFonts w:ascii="Times New Roman" w:hAnsi="Times New Roman" w:cs="Times New Roman"/>
          <w:sz w:val="24"/>
          <w:szCs w:val="24"/>
        </w:rPr>
        <w:t>uslug</w:t>
      </w:r>
      <w:r w:rsidR="00612B2A" w:rsidRPr="000830C9">
        <w:rPr>
          <w:rFonts w:ascii="Times New Roman" w:hAnsi="Times New Roman" w:cs="Times New Roman"/>
          <w:sz w:val="24"/>
          <w:szCs w:val="24"/>
        </w:rPr>
        <w:t>e</w:t>
      </w:r>
      <w:r w:rsidRPr="000830C9">
        <w:rPr>
          <w:rFonts w:ascii="Times New Roman" w:hAnsi="Times New Roman" w:cs="Times New Roman"/>
          <w:sz w:val="24"/>
          <w:szCs w:val="24"/>
        </w:rPr>
        <w:t xml:space="preserve"> čuvanja imovine i osoba (</w:t>
      </w:r>
      <w:r w:rsidR="00E450BC" w:rsidRPr="000830C9">
        <w:rPr>
          <w:rFonts w:ascii="Times New Roman" w:hAnsi="Times New Roman" w:cs="Times New Roman"/>
          <w:sz w:val="24"/>
          <w:szCs w:val="24"/>
        </w:rPr>
        <w:t>1.477.788,33</w:t>
      </w:r>
      <w:r w:rsidRPr="000830C9">
        <w:rPr>
          <w:rFonts w:ascii="Times New Roman" w:hAnsi="Times New Roman" w:cs="Times New Roman"/>
          <w:sz w:val="24"/>
          <w:szCs w:val="24"/>
        </w:rPr>
        <w:t xml:space="preserve"> EUR)</w:t>
      </w:r>
      <w:r w:rsidR="005F309B" w:rsidRPr="000830C9">
        <w:rPr>
          <w:rFonts w:ascii="Times New Roman" w:hAnsi="Times New Roman" w:cs="Times New Roman"/>
          <w:sz w:val="24"/>
          <w:szCs w:val="24"/>
        </w:rPr>
        <w:t xml:space="preserve"> te</w:t>
      </w:r>
      <w:r w:rsidRPr="000830C9">
        <w:rPr>
          <w:rFonts w:ascii="Times New Roman" w:hAnsi="Times New Roman" w:cs="Times New Roman"/>
          <w:sz w:val="24"/>
          <w:szCs w:val="24"/>
        </w:rPr>
        <w:t xml:space="preserve"> </w:t>
      </w:r>
      <w:r w:rsidR="00E2086D" w:rsidRPr="000830C9">
        <w:rPr>
          <w:rFonts w:ascii="Times New Roman" w:hAnsi="Times New Roman" w:cs="Times New Roman"/>
          <w:sz w:val="24"/>
          <w:szCs w:val="24"/>
        </w:rPr>
        <w:t>intelektualn</w:t>
      </w:r>
      <w:r w:rsidR="00612B2A" w:rsidRPr="000830C9">
        <w:rPr>
          <w:rFonts w:ascii="Times New Roman" w:hAnsi="Times New Roman" w:cs="Times New Roman"/>
          <w:sz w:val="24"/>
          <w:szCs w:val="24"/>
        </w:rPr>
        <w:t>e i osobne</w:t>
      </w:r>
      <w:r w:rsidR="00E2086D" w:rsidRPr="000830C9">
        <w:rPr>
          <w:rFonts w:ascii="Times New Roman" w:hAnsi="Times New Roman" w:cs="Times New Roman"/>
          <w:sz w:val="24"/>
          <w:szCs w:val="24"/>
        </w:rPr>
        <w:t xml:space="preserve"> uslug</w:t>
      </w:r>
      <w:r w:rsidR="00612B2A" w:rsidRPr="000830C9">
        <w:rPr>
          <w:rFonts w:ascii="Times New Roman" w:hAnsi="Times New Roman" w:cs="Times New Roman"/>
          <w:sz w:val="24"/>
          <w:szCs w:val="24"/>
        </w:rPr>
        <w:t>e (</w:t>
      </w:r>
      <w:r w:rsidR="005F309B" w:rsidRPr="000830C9">
        <w:rPr>
          <w:rFonts w:ascii="Times New Roman" w:hAnsi="Times New Roman" w:cs="Times New Roman"/>
          <w:sz w:val="24"/>
          <w:szCs w:val="24"/>
        </w:rPr>
        <w:t xml:space="preserve">559.643,43 </w:t>
      </w:r>
      <w:r w:rsidR="00612B2A" w:rsidRPr="000830C9">
        <w:rPr>
          <w:rFonts w:ascii="Times New Roman" w:hAnsi="Times New Roman" w:cs="Times New Roman"/>
          <w:sz w:val="24"/>
          <w:szCs w:val="24"/>
        </w:rPr>
        <w:t>EUR)</w:t>
      </w:r>
      <w:r w:rsidR="005F309B" w:rsidRPr="000830C9">
        <w:rPr>
          <w:rFonts w:ascii="Times New Roman" w:hAnsi="Times New Roman" w:cs="Times New Roman"/>
          <w:sz w:val="24"/>
          <w:szCs w:val="24"/>
        </w:rPr>
        <w:t>.</w:t>
      </w:r>
      <w:r w:rsidR="00DE48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44EA1" w14:textId="1C674981" w:rsidR="00315BA7" w:rsidRDefault="00315BA7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315BA7">
        <w:rPr>
          <w:noProof/>
        </w:rPr>
        <w:drawing>
          <wp:inline distT="0" distB="0" distL="0" distR="0" wp14:anchorId="28D7B81B" wp14:editId="7F02759F">
            <wp:extent cx="4732020" cy="1470660"/>
            <wp:effectExtent l="0" t="0" r="0" b="0"/>
            <wp:docPr id="106592677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02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1E02C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6253E">
        <w:rPr>
          <w:rFonts w:ascii="Times New Roman" w:hAnsi="Times New Roman" w:cs="Times New Roman"/>
          <w:b/>
          <w:sz w:val="24"/>
          <w:szCs w:val="24"/>
        </w:rPr>
        <w:t>Financijski rashodi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9D7">
        <w:rPr>
          <w:rFonts w:ascii="Times New Roman" w:hAnsi="Times New Roman" w:cs="Times New Roman"/>
          <w:b/>
          <w:sz w:val="24"/>
          <w:szCs w:val="24"/>
        </w:rPr>
        <w:t>(34)</w:t>
      </w:r>
    </w:p>
    <w:p w14:paraId="6D71D053" w14:textId="374889DA" w:rsidR="00036DEE" w:rsidRDefault="002C6228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 rashodi obuhvaćaju </w:t>
      </w:r>
      <w:r w:rsidR="00C9489F">
        <w:rPr>
          <w:rFonts w:ascii="Times New Roman" w:hAnsi="Times New Roman" w:cs="Times New Roman"/>
          <w:sz w:val="24"/>
          <w:szCs w:val="24"/>
        </w:rPr>
        <w:t>kamate na kredite i ostale financijske rashode.</w:t>
      </w:r>
      <w:r w:rsidR="004A13F8">
        <w:rPr>
          <w:rFonts w:ascii="Times New Roman" w:hAnsi="Times New Roman" w:cs="Times New Roman"/>
          <w:sz w:val="24"/>
          <w:szCs w:val="24"/>
        </w:rPr>
        <w:t xml:space="preserve"> Kamatna stopa po IBRD zajmu iznosila je u 2024. godini </w:t>
      </w:r>
      <w:r w:rsidR="00461D86">
        <w:rPr>
          <w:rFonts w:ascii="Times New Roman" w:hAnsi="Times New Roman" w:cs="Times New Roman"/>
          <w:sz w:val="24"/>
          <w:szCs w:val="24"/>
        </w:rPr>
        <w:t xml:space="preserve">4,22 % (dospijeće 15.03.2024.) odnosno 4,18 % godišnje (dospijeće 15.09.2024.). </w:t>
      </w:r>
      <w:r w:rsidR="003845DE">
        <w:rPr>
          <w:rFonts w:ascii="Times New Roman" w:hAnsi="Times New Roman" w:cs="Times New Roman"/>
          <w:sz w:val="24"/>
          <w:szCs w:val="24"/>
        </w:rPr>
        <w:t>Kamatna stopa</w:t>
      </w:r>
      <w:r w:rsidR="003C2561">
        <w:rPr>
          <w:rFonts w:ascii="Times New Roman" w:hAnsi="Times New Roman" w:cs="Times New Roman"/>
          <w:sz w:val="24"/>
          <w:szCs w:val="24"/>
        </w:rPr>
        <w:t xml:space="preserve"> po kreditu KOREA EXIMBANK za projekt SAMSUNG je fiksna (3,5% godišnje). </w:t>
      </w:r>
      <w:r w:rsidR="00461D86">
        <w:rPr>
          <w:rFonts w:ascii="Times New Roman" w:hAnsi="Times New Roman" w:cs="Times New Roman"/>
          <w:sz w:val="24"/>
          <w:szCs w:val="24"/>
        </w:rPr>
        <w:t xml:space="preserve">Kamatna stopa po kreditu Erste &amp; </w:t>
      </w:r>
      <w:proofErr w:type="spellStart"/>
      <w:r w:rsidR="00461D86">
        <w:rPr>
          <w:rFonts w:ascii="Times New Roman" w:hAnsi="Times New Roman" w:cs="Times New Roman"/>
          <w:sz w:val="24"/>
          <w:szCs w:val="24"/>
        </w:rPr>
        <w:t>Steiermarkische</w:t>
      </w:r>
      <w:proofErr w:type="spellEnd"/>
      <w:r w:rsidR="00461D86">
        <w:rPr>
          <w:rFonts w:ascii="Times New Roman" w:hAnsi="Times New Roman" w:cs="Times New Roman"/>
          <w:sz w:val="24"/>
          <w:szCs w:val="24"/>
        </w:rPr>
        <w:t xml:space="preserve"> banke je 1,92 % godišnje.</w:t>
      </w:r>
    </w:p>
    <w:p w14:paraId="4251DFE9" w14:textId="0E8F676C" w:rsidR="004F6DF2" w:rsidRPr="00036DEE" w:rsidRDefault="004A13F8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4A13F8">
        <w:rPr>
          <w:noProof/>
        </w:rPr>
        <w:lastRenderedPageBreak/>
        <w:drawing>
          <wp:inline distT="0" distB="0" distL="0" distR="0" wp14:anchorId="69C92067" wp14:editId="107C6084">
            <wp:extent cx="4732020" cy="922020"/>
            <wp:effectExtent l="0" t="0" r="0" b="0"/>
            <wp:docPr id="29808434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7CCE1" w14:textId="77777777" w:rsidR="000D58E1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253E">
        <w:rPr>
          <w:rFonts w:ascii="Times New Roman" w:hAnsi="Times New Roman" w:cs="Times New Roman"/>
          <w:b/>
          <w:sz w:val="24"/>
          <w:szCs w:val="24"/>
        </w:rPr>
        <w:t>Subvencije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9D7">
        <w:rPr>
          <w:rFonts w:ascii="Times New Roman" w:hAnsi="Times New Roman" w:cs="Times New Roman"/>
          <w:b/>
          <w:sz w:val="24"/>
          <w:szCs w:val="24"/>
        </w:rPr>
        <w:t>(35)</w:t>
      </w:r>
    </w:p>
    <w:p w14:paraId="0988815D" w14:textId="4AA55EFF" w:rsidR="004F6DF2" w:rsidRPr="00036DEE" w:rsidRDefault="005D7EE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54D78FB2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6253E">
        <w:rPr>
          <w:rFonts w:ascii="Times New Roman" w:hAnsi="Times New Roman" w:cs="Times New Roman"/>
          <w:b/>
          <w:sz w:val="24"/>
          <w:szCs w:val="24"/>
        </w:rPr>
        <w:t>Pomoći dane u inozemstvo i unutar općeg proračuna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9D7">
        <w:rPr>
          <w:rFonts w:ascii="Times New Roman" w:hAnsi="Times New Roman" w:cs="Times New Roman"/>
          <w:b/>
          <w:sz w:val="24"/>
          <w:szCs w:val="24"/>
        </w:rPr>
        <w:t>(36)</w:t>
      </w:r>
    </w:p>
    <w:p w14:paraId="4A5FEDF5" w14:textId="7E43BE4B" w:rsidR="00680392" w:rsidRPr="00B32089" w:rsidRDefault="00B32089" w:rsidP="00B32089">
      <w:pPr>
        <w:pStyle w:val="ListParagraph"/>
        <w:numPr>
          <w:ilvl w:val="0"/>
          <w:numId w:val="9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Kapitalne pomoći temeljem prijenosa EU sredstava u 2024. godini (</w:t>
      </w:r>
      <w:r w:rsidRPr="00B32089">
        <w:rPr>
          <w:rFonts w:ascii="Times New Roman" w:hAnsi="Times New Roman" w:cs="Times New Roman"/>
          <w:sz w:val="24"/>
          <w:szCs w:val="24"/>
        </w:rPr>
        <w:t>2.210.596,52</w:t>
      </w:r>
      <w:r>
        <w:rPr>
          <w:rFonts w:ascii="Times New Roman" w:hAnsi="Times New Roman" w:cs="Times New Roman"/>
          <w:sz w:val="24"/>
          <w:szCs w:val="24"/>
        </w:rPr>
        <w:t xml:space="preserve"> EUR) se odnose na transfer sredstava u korist partnera u CEF projektu - </w:t>
      </w:r>
      <w:r w:rsidRPr="00B32089">
        <w:rPr>
          <w:rFonts w:ascii="Times New Roman" w:hAnsi="Times New Roman" w:cs="Times New Roman"/>
          <w:sz w:val="24"/>
          <w:szCs w:val="24"/>
        </w:rPr>
        <w:t>Unapređenj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32089">
        <w:rPr>
          <w:rFonts w:ascii="Times New Roman" w:hAnsi="Times New Roman" w:cs="Times New Roman"/>
          <w:sz w:val="24"/>
          <w:szCs w:val="24"/>
        </w:rPr>
        <w:t xml:space="preserve"> infrastrukture u luci Rijeka – Zagreb </w:t>
      </w:r>
      <w:proofErr w:type="spellStart"/>
      <w:r w:rsidRPr="00B32089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Pr="00B32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89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B32089">
        <w:rPr>
          <w:rFonts w:ascii="Times New Roman" w:hAnsi="Times New Roman" w:cs="Times New Roman"/>
          <w:sz w:val="24"/>
          <w:szCs w:val="24"/>
        </w:rPr>
        <w:t xml:space="preserve"> kontejnerski terminal</w:t>
      </w:r>
      <w:r>
        <w:rPr>
          <w:rFonts w:ascii="Times New Roman" w:hAnsi="Times New Roman" w:cs="Times New Roman"/>
          <w:sz w:val="24"/>
          <w:szCs w:val="24"/>
        </w:rPr>
        <w:t xml:space="preserve"> (HŽI d.o.o.). </w:t>
      </w:r>
    </w:p>
    <w:p w14:paraId="5D389EC1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6253E">
        <w:rPr>
          <w:rFonts w:ascii="Times New Roman" w:hAnsi="Times New Roman" w:cs="Times New Roman"/>
          <w:b/>
          <w:sz w:val="24"/>
          <w:szCs w:val="24"/>
        </w:rPr>
        <w:t xml:space="preserve">Naknade građanima i kućanstvima na temelju osiguranja i druge naknade </w:t>
      </w:r>
      <w:r w:rsidRPr="00D649D7">
        <w:rPr>
          <w:rFonts w:ascii="Times New Roman" w:hAnsi="Times New Roman" w:cs="Times New Roman"/>
          <w:b/>
          <w:sz w:val="24"/>
          <w:szCs w:val="24"/>
        </w:rPr>
        <w:t>(37)</w:t>
      </w:r>
    </w:p>
    <w:p w14:paraId="0C2927A7" w14:textId="26877898" w:rsidR="004F6DF2" w:rsidRPr="00036DEE" w:rsidRDefault="005D7EE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21E2EED0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6253E">
        <w:rPr>
          <w:rFonts w:ascii="Times New Roman" w:hAnsi="Times New Roman" w:cs="Times New Roman"/>
          <w:b/>
          <w:sz w:val="24"/>
          <w:szCs w:val="24"/>
        </w:rPr>
        <w:t>Ostali rashodi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9D7">
        <w:rPr>
          <w:rFonts w:ascii="Times New Roman" w:hAnsi="Times New Roman" w:cs="Times New Roman"/>
          <w:b/>
          <w:sz w:val="24"/>
          <w:szCs w:val="24"/>
        </w:rPr>
        <w:t>(38)</w:t>
      </w:r>
    </w:p>
    <w:p w14:paraId="353D23D2" w14:textId="7DB3319F" w:rsidR="004F6DF2" w:rsidRPr="00036DEE" w:rsidRDefault="00A51F6F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A51F6F">
        <w:rPr>
          <w:rFonts w:ascii="Times New Roman" w:hAnsi="Times New Roman" w:cs="Times New Roman"/>
          <w:sz w:val="24"/>
          <w:szCs w:val="24"/>
        </w:rPr>
        <w:t>Kapitalne pomoći u 202</w:t>
      </w:r>
      <w:r w:rsidR="009B043E">
        <w:rPr>
          <w:rFonts w:ascii="Times New Roman" w:hAnsi="Times New Roman" w:cs="Times New Roman"/>
          <w:sz w:val="24"/>
          <w:szCs w:val="24"/>
        </w:rPr>
        <w:t>4</w:t>
      </w:r>
      <w:r w:rsidRPr="00A51F6F">
        <w:rPr>
          <w:rFonts w:ascii="Times New Roman" w:hAnsi="Times New Roman" w:cs="Times New Roman"/>
          <w:sz w:val="24"/>
          <w:szCs w:val="24"/>
        </w:rPr>
        <w:t>.godini (</w:t>
      </w:r>
      <w:r w:rsidR="009B043E" w:rsidRPr="009B043E">
        <w:rPr>
          <w:rFonts w:ascii="Times New Roman" w:hAnsi="Times New Roman" w:cs="Times New Roman"/>
          <w:sz w:val="24"/>
          <w:szCs w:val="24"/>
        </w:rPr>
        <w:t>10.491.423,94</w:t>
      </w:r>
      <w:r w:rsidR="009B043E">
        <w:rPr>
          <w:rFonts w:ascii="Times New Roman" w:hAnsi="Times New Roman" w:cs="Times New Roman"/>
          <w:sz w:val="24"/>
          <w:szCs w:val="24"/>
        </w:rPr>
        <w:t xml:space="preserve"> </w:t>
      </w:r>
      <w:r w:rsidRPr="00A51F6F">
        <w:rPr>
          <w:rFonts w:ascii="Times New Roman" w:hAnsi="Times New Roman" w:cs="Times New Roman"/>
          <w:sz w:val="24"/>
          <w:szCs w:val="24"/>
        </w:rPr>
        <w:t>EUR) odnose se na transfer sredstava u korist Luke Rijeka d.d. kao partnera u CEF projekt</w:t>
      </w:r>
      <w:r w:rsidR="009B043E">
        <w:rPr>
          <w:rFonts w:ascii="Times New Roman" w:hAnsi="Times New Roman" w:cs="Times New Roman"/>
          <w:sz w:val="24"/>
          <w:szCs w:val="24"/>
        </w:rPr>
        <w:t>u</w:t>
      </w:r>
      <w:r w:rsidRPr="00A51F6F">
        <w:rPr>
          <w:rFonts w:ascii="Times New Roman" w:hAnsi="Times New Roman" w:cs="Times New Roman"/>
          <w:sz w:val="24"/>
          <w:szCs w:val="24"/>
        </w:rPr>
        <w:t xml:space="preserve"> (</w:t>
      </w:r>
      <w:r w:rsidR="00E27656">
        <w:rPr>
          <w:rFonts w:ascii="Times New Roman" w:hAnsi="Times New Roman" w:cs="Times New Roman"/>
          <w:sz w:val="24"/>
          <w:szCs w:val="24"/>
        </w:rPr>
        <w:t xml:space="preserve">POR2CORE - </w:t>
      </w:r>
      <w:r w:rsidRPr="00A51F6F">
        <w:rPr>
          <w:rFonts w:ascii="Times New Roman" w:hAnsi="Times New Roman" w:cs="Times New Roman"/>
          <w:sz w:val="24"/>
          <w:szCs w:val="24"/>
        </w:rPr>
        <w:t xml:space="preserve">Bazen Rijeka). </w:t>
      </w:r>
    </w:p>
    <w:p w14:paraId="0594077C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6253E">
        <w:rPr>
          <w:rFonts w:ascii="Times New Roman" w:hAnsi="Times New Roman" w:cs="Times New Roman"/>
          <w:b/>
          <w:sz w:val="24"/>
          <w:szCs w:val="24"/>
        </w:rPr>
        <w:t xml:space="preserve">Rashodi za nabavu </w:t>
      </w:r>
      <w:proofErr w:type="spellStart"/>
      <w:r w:rsidRPr="00B6253E">
        <w:rPr>
          <w:rFonts w:ascii="Times New Roman" w:hAnsi="Times New Roman" w:cs="Times New Roman"/>
          <w:b/>
          <w:sz w:val="24"/>
          <w:szCs w:val="24"/>
        </w:rPr>
        <w:t>neproizvedene</w:t>
      </w:r>
      <w:proofErr w:type="spellEnd"/>
      <w:r w:rsidRPr="00B6253E">
        <w:rPr>
          <w:rFonts w:ascii="Times New Roman" w:hAnsi="Times New Roman" w:cs="Times New Roman"/>
          <w:b/>
          <w:sz w:val="24"/>
          <w:szCs w:val="24"/>
        </w:rPr>
        <w:t xml:space="preserve"> dugotrajne imovine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9D7">
        <w:rPr>
          <w:rFonts w:ascii="Times New Roman" w:hAnsi="Times New Roman" w:cs="Times New Roman"/>
          <w:b/>
          <w:sz w:val="24"/>
          <w:szCs w:val="24"/>
        </w:rPr>
        <w:t>(41)</w:t>
      </w:r>
    </w:p>
    <w:p w14:paraId="7C5EFB30" w14:textId="775631D4" w:rsidR="004F6DF2" w:rsidRPr="00036DEE" w:rsidRDefault="005560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62D74CC8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6253E">
        <w:rPr>
          <w:rFonts w:ascii="Times New Roman" w:hAnsi="Times New Roman" w:cs="Times New Roman"/>
          <w:b/>
          <w:sz w:val="24"/>
          <w:szCs w:val="24"/>
        </w:rPr>
        <w:t>Rashodi za nabavu proizvedene dugotrajne imovine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9D7">
        <w:rPr>
          <w:rFonts w:ascii="Times New Roman" w:hAnsi="Times New Roman" w:cs="Times New Roman"/>
          <w:b/>
          <w:sz w:val="24"/>
          <w:szCs w:val="24"/>
        </w:rPr>
        <w:t>(42)</w:t>
      </w:r>
    </w:p>
    <w:p w14:paraId="78A987AB" w14:textId="3C3439BE" w:rsidR="00036DEE" w:rsidRDefault="001C288D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ovoj poziciji</w:t>
      </w:r>
      <w:r w:rsidR="0037021C">
        <w:rPr>
          <w:rFonts w:ascii="Times New Roman" w:hAnsi="Times New Roman" w:cs="Times New Roman"/>
          <w:sz w:val="24"/>
          <w:szCs w:val="24"/>
        </w:rPr>
        <w:t xml:space="preserve"> su</w:t>
      </w:r>
      <w:r>
        <w:rPr>
          <w:rFonts w:ascii="Times New Roman" w:hAnsi="Times New Roman" w:cs="Times New Roman"/>
          <w:sz w:val="24"/>
          <w:szCs w:val="24"/>
        </w:rPr>
        <w:t xml:space="preserve"> najveći rashodi za nabavu građevinskih objekata koji u 202</w:t>
      </w:r>
      <w:r w:rsidR="0037021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 </w:t>
      </w:r>
      <w:r w:rsidR="00A3765B">
        <w:rPr>
          <w:rFonts w:ascii="Times New Roman" w:hAnsi="Times New Roman" w:cs="Times New Roman"/>
          <w:sz w:val="24"/>
          <w:szCs w:val="24"/>
        </w:rPr>
        <w:t xml:space="preserve">ukupno iznose </w:t>
      </w:r>
      <w:r w:rsidR="0037021C">
        <w:rPr>
          <w:rFonts w:ascii="Times New Roman" w:hAnsi="Times New Roman" w:cs="Times New Roman"/>
          <w:sz w:val="24"/>
          <w:szCs w:val="24"/>
        </w:rPr>
        <w:t>7.876.758,82</w:t>
      </w:r>
      <w:r w:rsidR="00A3765B">
        <w:rPr>
          <w:rFonts w:ascii="Times New Roman" w:hAnsi="Times New Roman" w:cs="Times New Roman"/>
          <w:sz w:val="24"/>
          <w:szCs w:val="24"/>
        </w:rPr>
        <w:t xml:space="preserve"> EUR od čega izdvajamo </w:t>
      </w:r>
      <w:r>
        <w:rPr>
          <w:rFonts w:ascii="Times New Roman" w:hAnsi="Times New Roman" w:cs="Times New Roman"/>
          <w:sz w:val="24"/>
          <w:szCs w:val="24"/>
        </w:rPr>
        <w:t xml:space="preserve">ulaganja u okviru CEF projekta produbljenja južnog veza na kontejnerskom terminalu Jadranska vrata </w:t>
      </w:r>
      <w:r w:rsidRPr="002E64F0">
        <w:rPr>
          <w:rFonts w:ascii="Times New Roman" w:hAnsi="Times New Roman" w:cs="Times New Roman"/>
          <w:sz w:val="24"/>
          <w:szCs w:val="24"/>
        </w:rPr>
        <w:t>(</w:t>
      </w:r>
      <w:r w:rsidR="002E64F0" w:rsidRPr="002E64F0">
        <w:rPr>
          <w:rFonts w:ascii="Times New Roman" w:hAnsi="Times New Roman" w:cs="Times New Roman"/>
          <w:sz w:val="24"/>
          <w:szCs w:val="24"/>
        </w:rPr>
        <w:t>3.236.337,25</w:t>
      </w:r>
      <w:r w:rsidR="004113F8" w:rsidRPr="002E64F0">
        <w:rPr>
          <w:rFonts w:ascii="Times New Roman" w:hAnsi="Times New Roman" w:cs="Times New Roman"/>
          <w:sz w:val="24"/>
          <w:szCs w:val="24"/>
        </w:rPr>
        <w:t xml:space="preserve"> </w:t>
      </w:r>
      <w:r w:rsidRPr="002E64F0">
        <w:rPr>
          <w:rFonts w:ascii="Times New Roman" w:hAnsi="Times New Roman" w:cs="Times New Roman"/>
          <w:sz w:val="24"/>
          <w:szCs w:val="24"/>
        </w:rPr>
        <w:t>EUR)</w:t>
      </w:r>
      <w:r w:rsidR="004113F8" w:rsidRPr="002E64F0">
        <w:rPr>
          <w:rFonts w:ascii="Times New Roman" w:hAnsi="Times New Roman" w:cs="Times New Roman"/>
          <w:sz w:val="24"/>
          <w:szCs w:val="24"/>
        </w:rPr>
        <w:t xml:space="preserve"> i</w:t>
      </w:r>
      <w:r w:rsidR="004113F8">
        <w:rPr>
          <w:rFonts w:ascii="Times New Roman" w:hAnsi="Times New Roman" w:cs="Times New Roman"/>
          <w:sz w:val="24"/>
          <w:szCs w:val="24"/>
        </w:rPr>
        <w:t xml:space="preserve"> </w:t>
      </w:r>
      <w:r w:rsidR="002E64F0" w:rsidRPr="002E64F0">
        <w:rPr>
          <w:rFonts w:ascii="Times New Roman" w:hAnsi="Times New Roman" w:cs="Times New Roman"/>
          <w:sz w:val="24"/>
          <w:szCs w:val="24"/>
        </w:rPr>
        <w:t xml:space="preserve">ulaganja u projektnu dokumentaciju u okviru CEF projekta za </w:t>
      </w:r>
      <w:r w:rsidR="002E64F0">
        <w:rPr>
          <w:rFonts w:ascii="Times New Roman" w:hAnsi="Times New Roman" w:cs="Times New Roman"/>
          <w:sz w:val="24"/>
          <w:szCs w:val="24"/>
        </w:rPr>
        <w:t>p</w:t>
      </w:r>
      <w:r w:rsidR="002E64F0" w:rsidRPr="002E64F0">
        <w:rPr>
          <w:rFonts w:ascii="Times New Roman" w:hAnsi="Times New Roman" w:cs="Times New Roman"/>
          <w:sz w:val="24"/>
          <w:szCs w:val="24"/>
        </w:rPr>
        <w:t>roširenje Praške obale</w:t>
      </w:r>
      <w:r w:rsidR="002E64F0">
        <w:rPr>
          <w:rFonts w:ascii="Times New Roman" w:hAnsi="Times New Roman" w:cs="Times New Roman"/>
          <w:sz w:val="24"/>
          <w:szCs w:val="24"/>
        </w:rPr>
        <w:t xml:space="preserve"> (1.788.725,19 EUR).</w:t>
      </w:r>
    </w:p>
    <w:p w14:paraId="1AC6A45C" w14:textId="6EF87A24" w:rsidR="004F6DF2" w:rsidRPr="00036DEE" w:rsidRDefault="0037021C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37021C">
        <w:rPr>
          <w:noProof/>
        </w:rPr>
        <w:drawing>
          <wp:inline distT="0" distB="0" distL="0" distR="0" wp14:anchorId="70AC8883" wp14:editId="66FF65FD">
            <wp:extent cx="4937760" cy="1287780"/>
            <wp:effectExtent l="0" t="0" r="0" b="7620"/>
            <wp:docPr id="133741533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C0D00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6253E">
        <w:rPr>
          <w:rFonts w:ascii="Times New Roman" w:hAnsi="Times New Roman" w:cs="Times New Roman"/>
          <w:b/>
          <w:sz w:val="24"/>
          <w:szCs w:val="24"/>
        </w:rPr>
        <w:t>Rashodi za dodatna ulaganja na nefinancijskoj imovini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9D7">
        <w:rPr>
          <w:rFonts w:ascii="Times New Roman" w:hAnsi="Times New Roman" w:cs="Times New Roman"/>
          <w:b/>
          <w:sz w:val="24"/>
          <w:szCs w:val="24"/>
        </w:rPr>
        <w:t>(45)</w:t>
      </w:r>
    </w:p>
    <w:p w14:paraId="55241D25" w14:textId="6E48A9B3" w:rsidR="004F6DF2" w:rsidRDefault="003E030C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B048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godini</w:t>
      </w:r>
      <w:r w:rsidR="00B0484D">
        <w:rPr>
          <w:rFonts w:ascii="Times New Roman" w:hAnsi="Times New Roman" w:cs="Times New Roman"/>
          <w:sz w:val="24"/>
          <w:szCs w:val="24"/>
        </w:rPr>
        <w:t xml:space="preserve"> su na ovim rashodima</w:t>
      </w:r>
      <w:r>
        <w:rPr>
          <w:rFonts w:ascii="Times New Roman" w:hAnsi="Times New Roman" w:cs="Times New Roman"/>
          <w:sz w:val="24"/>
          <w:szCs w:val="24"/>
        </w:rPr>
        <w:t xml:space="preserve"> iskazana dodatna ulaganja na građevinskim objektima (</w:t>
      </w:r>
      <w:r w:rsidR="00B0484D" w:rsidRPr="00B0484D">
        <w:rPr>
          <w:rFonts w:ascii="Times New Roman" w:hAnsi="Times New Roman" w:cs="Times New Roman"/>
          <w:sz w:val="24"/>
          <w:szCs w:val="24"/>
        </w:rPr>
        <w:t xml:space="preserve">21.997,50 </w:t>
      </w:r>
      <w:r>
        <w:rPr>
          <w:rFonts w:ascii="Times New Roman" w:hAnsi="Times New Roman" w:cs="Times New Roman"/>
          <w:sz w:val="24"/>
          <w:szCs w:val="24"/>
        </w:rPr>
        <w:t>EUR).</w:t>
      </w:r>
    </w:p>
    <w:p w14:paraId="657EF58C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6253E">
        <w:rPr>
          <w:rFonts w:ascii="Times New Roman" w:hAnsi="Times New Roman" w:cs="Times New Roman"/>
          <w:b/>
          <w:sz w:val="24"/>
          <w:szCs w:val="24"/>
        </w:rPr>
        <w:t>Izdaci za dane zajmove i depozite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9D7">
        <w:rPr>
          <w:rFonts w:ascii="Times New Roman" w:hAnsi="Times New Roman" w:cs="Times New Roman"/>
          <w:b/>
          <w:sz w:val="24"/>
          <w:szCs w:val="24"/>
        </w:rPr>
        <w:t>(51)</w:t>
      </w:r>
    </w:p>
    <w:p w14:paraId="34CEEACD" w14:textId="564345BD" w:rsidR="004F6DF2" w:rsidRPr="00036DEE" w:rsidRDefault="005560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011286AE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6253E">
        <w:rPr>
          <w:rFonts w:ascii="Times New Roman" w:hAnsi="Times New Roman" w:cs="Times New Roman"/>
          <w:b/>
          <w:sz w:val="24"/>
          <w:szCs w:val="24"/>
        </w:rPr>
        <w:t>Izdaci za dionice i udjele u glavnici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9D7">
        <w:rPr>
          <w:rFonts w:ascii="Times New Roman" w:hAnsi="Times New Roman" w:cs="Times New Roman"/>
          <w:b/>
          <w:sz w:val="24"/>
          <w:szCs w:val="24"/>
        </w:rPr>
        <w:t>(53)</w:t>
      </w:r>
    </w:p>
    <w:p w14:paraId="368AC796" w14:textId="48E0CA9E" w:rsidR="004F6DF2" w:rsidRPr="00036DEE" w:rsidRDefault="005560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14:paraId="0517A7BA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6253E">
        <w:rPr>
          <w:rFonts w:ascii="Times New Roman" w:hAnsi="Times New Roman" w:cs="Times New Roman"/>
          <w:b/>
          <w:sz w:val="24"/>
          <w:szCs w:val="24"/>
        </w:rPr>
        <w:t>Izdaci za otplatu glavnice primljenih kredita i zajmova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9D7">
        <w:rPr>
          <w:rFonts w:ascii="Times New Roman" w:hAnsi="Times New Roman" w:cs="Times New Roman"/>
          <w:b/>
          <w:sz w:val="24"/>
          <w:szCs w:val="24"/>
        </w:rPr>
        <w:t>(54)</w:t>
      </w:r>
    </w:p>
    <w:p w14:paraId="37017290" w14:textId="32771344" w:rsidR="00FC00DB" w:rsidRDefault="00A04F6D" w:rsidP="00FC00D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izdaci za otplatu glavnice primljenih kredita i zajmova </w:t>
      </w:r>
      <w:r w:rsidR="00FC00DB">
        <w:rPr>
          <w:rFonts w:ascii="Times New Roman" w:hAnsi="Times New Roman" w:cs="Times New Roman"/>
          <w:sz w:val="24"/>
          <w:szCs w:val="24"/>
        </w:rPr>
        <w:t>u 202</w:t>
      </w:r>
      <w:r w:rsidR="00005629">
        <w:rPr>
          <w:rFonts w:ascii="Times New Roman" w:hAnsi="Times New Roman" w:cs="Times New Roman"/>
          <w:sz w:val="24"/>
          <w:szCs w:val="24"/>
        </w:rPr>
        <w:t>4</w:t>
      </w:r>
      <w:r w:rsidR="00FC00DB">
        <w:rPr>
          <w:rFonts w:ascii="Times New Roman" w:hAnsi="Times New Roman" w:cs="Times New Roman"/>
          <w:sz w:val="24"/>
          <w:szCs w:val="24"/>
        </w:rPr>
        <w:t xml:space="preserve">. godini </w:t>
      </w:r>
      <w:r w:rsidR="00D51DE1">
        <w:rPr>
          <w:rFonts w:ascii="Times New Roman" w:hAnsi="Times New Roman" w:cs="Times New Roman"/>
          <w:sz w:val="24"/>
          <w:szCs w:val="24"/>
        </w:rPr>
        <w:t>iznose</w:t>
      </w:r>
      <w:r w:rsidR="00005629">
        <w:rPr>
          <w:rFonts w:ascii="Times New Roman" w:hAnsi="Times New Roman" w:cs="Times New Roman"/>
          <w:sz w:val="24"/>
          <w:szCs w:val="24"/>
        </w:rPr>
        <w:t xml:space="preserve">  </w:t>
      </w:r>
      <w:r w:rsidR="00005629" w:rsidRPr="00005629">
        <w:rPr>
          <w:rFonts w:ascii="Times New Roman" w:hAnsi="Times New Roman" w:cs="Times New Roman"/>
          <w:sz w:val="24"/>
          <w:szCs w:val="24"/>
        </w:rPr>
        <w:t xml:space="preserve">   8.533.024,44</w:t>
      </w:r>
      <w:r w:rsidR="00005629">
        <w:rPr>
          <w:rFonts w:ascii="Times New Roman" w:hAnsi="Times New Roman" w:cs="Times New Roman"/>
          <w:sz w:val="24"/>
          <w:szCs w:val="24"/>
        </w:rPr>
        <w:t xml:space="preserve"> EUR</w:t>
      </w:r>
      <w:r w:rsidR="00FC00DB">
        <w:rPr>
          <w:rFonts w:ascii="Times New Roman" w:hAnsi="Times New Roman" w:cs="Times New Roman"/>
          <w:sz w:val="24"/>
          <w:szCs w:val="24"/>
        </w:rPr>
        <w:t>, a proizlaze iz ugovornih obveza prema bankama:</w:t>
      </w:r>
    </w:p>
    <w:p w14:paraId="51855951" w14:textId="24C64D91" w:rsidR="00FC00DB" w:rsidRDefault="00FC00DB" w:rsidP="00FC00D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KOREA EXIMBANK</w:t>
      </w:r>
      <w:r w:rsidR="003C259D">
        <w:rPr>
          <w:rFonts w:ascii="Times New Roman" w:hAnsi="Times New Roman" w:cs="Times New Roman"/>
          <w:sz w:val="24"/>
          <w:szCs w:val="24"/>
        </w:rPr>
        <w:t xml:space="preserve"> (Projekt Samsung) </w:t>
      </w:r>
      <w:r>
        <w:rPr>
          <w:rFonts w:ascii="Times New Roman" w:hAnsi="Times New Roman" w:cs="Times New Roman"/>
          <w:sz w:val="24"/>
          <w:szCs w:val="24"/>
        </w:rPr>
        <w:t>u iznosu od</w:t>
      </w:r>
      <w:r w:rsidR="00005629" w:rsidRPr="00005629">
        <w:rPr>
          <w:rFonts w:ascii="Times New Roman" w:hAnsi="Times New Roman" w:cs="Times New Roman"/>
          <w:sz w:val="24"/>
          <w:szCs w:val="24"/>
        </w:rPr>
        <w:t xml:space="preserve"> 1.989.637,24 </w:t>
      </w:r>
      <w:r>
        <w:rPr>
          <w:rFonts w:ascii="Times New Roman" w:hAnsi="Times New Roman" w:cs="Times New Roman"/>
          <w:sz w:val="24"/>
          <w:szCs w:val="24"/>
        </w:rPr>
        <w:t>EUR;</w:t>
      </w:r>
    </w:p>
    <w:p w14:paraId="0F8227DA" w14:textId="46EE2B14" w:rsidR="00FC00DB" w:rsidRDefault="00FC00DB" w:rsidP="00FC00D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4DCD">
        <w:rPr>
          <w:rFonts w:ascii="Times New Roman" w:hAnsi="Times New Roman" w:cs="Times New Roman"/>
          <w:sz w:val="24"/>
          <w:szCs w:val="24"/>
        </w:rPr>
        <w:t>Svjetska banka (</w:t>
      </w:r>
      <w:r>
        <w:rPr>
          <w:rFonts w:ascii="Times New Roman" w:hAnsi="Times New Roman" w:cs="Times New Roman"/>
          <w:sz w:val="24"/>
          <w:szCs w:val="24"/>
        </w:rPr>
        <w:t xml:space="preserve">IBRD </w:t>
      </w:r>
      <w:r w:rsidR="00DE4DCD">
        <w:rPr>
          <w:rFonts w:ascii="Times New Roman" w:hAnsi="Times New Roman" w:cs="Times New Roman"/>
          <w:sz w:val="24"/>
          <w:szCs w:val="24"/>
        </w:rPr>
        <w:t>zajam br. 7638 HR</w:t>
      </w:r>
      <w:r w:rsidR="003C259D">
        <w:rPr>
          <w:rFonts w:ascii="Times New Roman" w:hAnsi="Times New Roman" w:cs="Times New Roman"/>
          <w:sz w:val="24"/>
          <w:szCs w:val="24"/>
        </w:rPr>
        <w:t xml:space="preserve"> – RGP II</w:t>
      </w:r>
      <w:r w:rsidR="00DE4DCD">
        <w:rPr>
          <w:rFonts w:ascii="Times New Roman" w:hAnsi="Times New Roman" w:cs="Times New Roman"/>
          <w:sz w:val="24"/>
          <w:szCs w:val="24"/>
        </w:rPr>
        <w:t xml:space="preserve">) u iznosu od </w:t>
      </w:r>
      <w:r w:rsidR="00005629" w:rsidRPr="00005629">
        <w:rPr>
          <w:rFonts w:ascii="Times New Roman" w:hAnsi="Times New Roman" w:cs="Times New Roman"/>
          <w:sz w:val="24"/>
          <w:szCs w:val="24"/>
        </w:rPr>
        <w:t>5</w:t>
      </w:r>
      <w:r w:rsidR="00DE4852">
        <w:rPr>
          <w:rFonts w:ascii="Times New Roman" w:hAnsi="Times New Roman" w:cs="Times New Roman"/>
          <w:sz w:val="24"/>
          <w:szCs w:val="24"/>
        </w:rPr>
        <w:t>.</w:t>
      </w:r>
      <w:r w:rsidR="00005629" w:rsidRPr="00005629">
        <w:rPr>
          <w:rFonts w:ascii="Times New Roman" w:hAnsi="Times New Roman" w:cs="Times New Roman"/>
          <w:sz w:val="24"/>
          <w:szCs w:val="24"/>
        </w:rPr>
        <w:t>601</w:t>
      </w:r>
      <w:r w:rsidR="00DE4852">
        <w:rPr>
          <w:rFonts w:ascii="Times New Roman" w:hAnsi="Times New Roman" w:cs="Times New Roman"/>
          <w:sz w:val="24"/>
          <w:szCs w:val="24"/>
        </w:rPr>
        <w:t>.</w:t>
      </w:r>
      <w:r w:rsidR="00005629" w:rsidRPr="00005629">
        <w:rPr>
          <w:rFonts w:ascii="Times New Roman" w:hAnsi="Times New Roman" w:cs="Times New Roman"/>
          <w:sz w:val="24"/>
          <w:szCs w:val="24"/>
        </w:rPr>
        <w:t>467</w:t>
      </w:r>
      <w:r w:rsidR="00005629">
        <w:rPr>
          <w:rFonts w:ascii="Times New Roman" w:hAnsi="Times New Roman" w:cs="Times New Roman"/>
          <w:sz w:val="24"/>
          <w:szCs w:val="24"/>
        </w:rPr>
        <w:t xml:space="preserve">,27 </w:t>
      </w:r>
      <w:r w:rsidR="00DE4DCD">
        <w:rPr>
          <w:rFonts w:ascii="Times New Roman" w:hAnsi="Times New Roman" w:cs="Times New Roman"/>
          <w:sz w:val="24"/>
          <w:szCs w:val="24"/>
        </w:rPr>
        <w:t xml:space="preserve">EUR te </w:t>
      </w:r>
    </w:p>
    <w:p w14:paraId="0E3BBB5F" w14:textId="04E1964D" w:rsidR="004F6DF2" w:rsidRDefault="00DE4DCD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Erste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Steiermark</w:t>
      </w:r>
      <w:r w:rsidR="003C25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d.d. </w:t>
      </w:r>
      <w:r w:rsidR="003C259D">
        <w:rPr>
          <w:rFonts w:ascii="Times New Roman" w:hAnsi="Times New Roman" w:cs="Times New Roman"/>
          <w:sz w:val="24"/>
          <w:szCs w:val="24"/>
        </w:rPr>
        <w:t xml:space="preserve">(CEF: AGCT DREDGING) </w:t>
      </w: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005629" w:rsidRPr="00005629">
        <w:rPr>
          <w:rFonts w:ascii="Times New Roman" w:hAnsi="Times New Roman" w:cs="Times New Roman"/>
          <w:sz w:val="24"/>
          <w:szCs w:val="24"/>
        </w:rPr>
        <w:t xml:space="preserve">941.919,93 </w:t>
      </w:r>
      <w:r w:rsidR="00DF0613">
        <w:rPr>
          <w:rFonts w:ascii="Times New Roman" w:hAnsi="Times New Roman" w:cs="Times New Roman"/>
          <w:sz w:val="24"/>
          <w:szCs w:val="24"/>
        </w:rPr>
        <w:t>EUR.</w:t>
      </w:r>
    </w:p>
    <w:p w14:paraId="0EBF062B" w14:textId="77777777" w:rsidR="00F57B4D" w:rsidRDefault="00F57B4D" w:rsidP="00036DEE">
      <w:pPr>
        <w:pStyle w:val="Heading1"/>
      </w:pPr>
      <w:bookmarkStart w:id="8" w:name="_Toc128989460"/>
    </w:p>
    <w:p w14:paraId="3D39AF4B" w14:textId="7307D68E" w:rsidR="000D58E1" w:rsidRDefault="000D58E1" w:rsidP="00036DEE">
      <w:pPr>
        <w:pStyle w:val="Heading1"/>
      </w:pPr>
      <w:r w:rsidRPr="00967C0E">
        <w:t>B I LJ E Š K E  U Z  O B R A Z A C  P – V R I O</w:t>
      </w:r>
      <w:bookmarkEnd w:id="8"/>
    </w:p>
    <w:p w14:paraId="3C20090D" w14:textId="77777777" w:rsidR="000D58E1" w:rsidRPr="00D649D7" w:rsidRDefault="00005934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6253E">
        <w:rPr>
          <w:rFonts w:ascii="Times New Roman" w:hAnsi="Times New Roman" w:cs="Times New Roman"/>
          <w:b/>
          <w:sz w:val="24"/>
          <w:szCs w:val="24"/>
        </w:rPr>
        <w:t>Promjene u vrijednosti i obujmu imovine i obveza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9D7">
        <w:rPr>
          <w:rFonts w:ascii="Times New Roman" w:hAnsi="Times New Roman" w:cs="Times New Roman"/>
          <w:b/>
          <w:sz w:val="24"/>
          <w:szCs w:val="24"/>
        </w:rPr>
        <w:t>(915</w:t>
      </w:r>
      <w:r w:rsidR="00CC75C5" w:rsidRPr="00D649D7">
        <w:rPr>
          <w:rFonts w:ascii="Times New Roman" w:hAnsi="Times New Roman" w:cs="Times New Roman"/>
          <w:b/>
          <w:sz w:val="24"/>
          <w:szCs w:val="24"/>
        </w:rPr>
        <w:t>1</w:t>
      </w:r>
      <w:r w:rsidRPr="00D649D7">
        <w:rPr>
          <w:rFonts w:ascii="Times New Roman" w:hAnsi="Times New Roman" w:cs="Times New Roman"/>
          <w:b/>
          <w:sz w:val="24"/>
          <w:szCs w:val="24"/>
        </w:rPr>
        <w:t>)</w:t>
      </w:r>
    </w:p>
    <w:p w14:paraId="0607FC1D" w14:textId="401CAA11" w:rsidR="00797AFE" w:rsidRDefault="008C3B3C" w:rsidP="00797AF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8C3B3C">
        <w:rPr>
          <w:rFonts w:ascii="Times New Roman" w:hAnsi="Times New Roman" w:cs="Times New Roman"/>
          <w:sz w:val="24"/>
          <w:szCs w:val="24"/>
        </w:rPr>
        <w:t>U Izvještaju o promjenama u vrijednosti i obujmu imovine i obveza za 202</w:t>
      </w:r>
      <w:r w:rsidR="00D80144">
        <w:rPr>
          <w:rFonts w:ascii="Times New Roman" w:hAnsi="Times New Roman" w:cs="Times New Roman"/>
          <w:sz w:val="24"/>
          <w:szCs w:val="24"/>
        </w:rPr>
        <w:t>4</w:t>
      </w:r>
      <w:r w:rsidRPr="008C3B3C">
        <w:rPr>
          <w:rFonts w:ascii="Times New Roman" w:hAnsi="Times New Roman" w:cs="Times New Roman"/>
          <w:sz w:val="24"/>
          <w:szCs w:val="24"/>
        </w:rPr>
        <w:t xml:space="preserve">.godinu iskazane su promjene (smanjenje) u vrijednosti imovine </w:t>
      </w:r>
      <w:r>
        <w:rPr>
          <w:rFonts w:ascii="Times New Roman" w:hAnsi="Times New Roman" w:cs="Times New Roman"/>
          <w:sz w:val="24"/>
          <w:szCs w:val="24"/>
        </w:rPr>
        <w:t xml:space="preserve">u ukupnom iznosu od </w:t>
      </w:r>
      <w:r w:rsidR="00967C0E">
        <w:rPr>
          <w:rFonts w:ascii="Times New Roman" w:hAnsi="Times New Roman" w:cs="Times New Roman"/>
          <w:sz w:val="24"/>
          <w:szCs w:val="24"/>
        </w:rPr>
        <w:t>64.166,50</w:t>
      </w:r>
      <w:r w:rsidR="00915A42">
        <w:rPr>
          <w:rFonts w:ascii="Times New Roman" w:hAnsi="Times New Roman" w:cs="Times New Roman"/>
          <w:sz w:val="24"/>
          <w:szCs w:val="24"/>
        </w:rPr>
        <w:t xml:space="preserve"> EUR, a od toga:</w:t>
      </w:r>
      <w:r w:rsidR="00797A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F9453B" w14:textId="4F587A2A" w:rsidR="00797AFE" w:rsidRDefault="00797AFE" w:rsidP="00797AF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7C0E">
        <w:rPr>
          <w:rFonts w:ascii="Times New Roman" w:hAnsi="Times New Roman" w:cs="Times New Roman"/>
          <w:sz w:val="24"/>
          <w:szCs w:val="24"/>
        </w:rPr>
        <w:t xml:space="preserve"> </w:t>
      </w:r>
      <w:r w:rsidR="00967C0E" w:rsidRPr="00967C0E">
        <w:rPr>
          <w:rFonts w:ascii="Times New Roman" w:hAnsi="Times New Roman" w:cs="Times New Roman"/>
          <w:sz w:val="24"/>
          <w:szCs w:val="24"/>
        </w:rPr>
        <w:t xml:space="preserve">55,104.60 </w:t>
      </w:r>
      <w:r w:rsidR="00915A42" w:rsidRPr="001579A8">
        <w:rPr>
          <w:rFonts w:ascii="Times New Roman" w:hAnsi="Times New Roman" w:cs="Times New Roman"/>
          <w:sz w:val="24"/>
          <w:szCs w:val="24"/>
        </w:rPr>
        <w:t>EUR predstavlja s</w:t>
      </w:r>
      <w:r w:rsidR="00C469E3" w:rsidRPr="001579A8">
        <w:rPr>
          <w:rFonts w:ascii="Times New Roman" w:hAnsi="Times New Roman" w:cs="Times New Roman"/>
          <w:sz w:val="24"/>
          <w:szCs w:val="24"/>
        </w:rPr>
        <w:t xml:space="preserve">manjenje </w:t>
      </w:r>
      <w:r w:rsidR="000D6434" w:rsidRPr="001579A8">
        <w:rPr>
          <w:rFonts w:ascii="Times New Roman" w:hAnsi="Times New Roman" w:cs="Times New Roman"/>
          <w:sz w:val="24"/>
          <w:szCs w:val="24"/>
        </w:rPr>
        <w:t>u obujmu proizvedene dugotrajne</w:t>
      </w:r>
      <w:r w:rsidR="00B62DB9" w:rsidRPr="001579A8">
        <w:rPr>
          <w:rFonts w:ascii="Times New Roman" w:hAnsi="Times New Roman" w:cs="Times New Roman"/>
          <w:sz w:val="24"/>
          <w:szCs w:val="24"/>
        </w:rPr>
        <w:t xml:space="preserve"> imovine</w:t>
      </w:r>
      <w:r w:rsidR="000D6434" w:rsidRPr="001579A8">
        <w:rPr>
          <w:rFonts w:ascii="Times New Roman" w:hAnsi="Times New Roman" w:cs="Times New Roman"/>
          <w:sz w:val="24"/>
          <w:szCs w:val="24"/>
        </w:rPr>
        <w:t xml:space="preserve"> </w:t>
      </w:r>
      <w:r w:rsidR="00915A42" w:rsidRPr="0015680A">
        <w:rPr>
          <w:rFonts w:ascii="Times New Roman" w:hAnsi="Times New Roman" w:cs="Times New Roman"/>
          <w:sz w:val="24"/>
          <w:szCs w:val="24"/>
        </w:rPr>
        <w:t>zbog</w:t>
      </w:r>
      <w:r w:rsidR="0015680A" w:rsidRPr="0015680A">
        <w:t xml:space="preserve"> </w:t>
      </w:r>
      <w:r w:rsidR="0015680A" w:rsidRPr="0015680A">
        <w:rPr>
          <w:rFonts w:ascii="Times New Roman" w:hAnsi="Times New Roman" w:cs="Times New Roman"/>
          <w:sz w:val="24"/>
          <w:szCs w:val="24"/>
        </w:rPr>
        <w:t xml:space="preserve">uklanjanja objekata i opreme u </w:t>
      </w:r>
      <w:r w:rsidR="00BB3559">
        <w:rPr>
          <w:rFonts w:ascii="Times New Roman" w:hAnsi="Times New Roman" w:cs="Times New Roman"/>
          <w:sz w:val="24"/>
          <w:szCs w:val="24"/>
        </w:rPr>
        <w:t xml:space="preserve">Porto </w:t>
      </w:r>
      <w:proofErr w:type="spellStart"/>
      <w:r w:rsidR="00BB3559">
        <w:rPr>
          <w:rFonts w:ascii="Times New Roman" w:hAnsi="Times New Roman" w:cs="Times New Roman"/>
          <w:sz w:val="24"/>
          <w:szCs w:val="24"/>
        </w:rPr>
        <w:t>Barošu</w:t>
      </w:r>
      <w:proofErr w:type="spellEnd"/>
      <w:r w:rsidR="00BB3559">
        <w:rPr>
          <w:rFonts w:ascii="Times New Roman" w:hAnsi="Times New Roman" w:cs="Times New Roman"/>
          <w:sz w:val="24"/>
          <w:szCs w:val="24"/>
        </w:rPr>
        <w:t xml:space="preserve"> i </w:t>
      </w:r>
      <w:r w:rsidR="0015680A" w:rsidRPr="0015680A">
        <w:rPr>
          <w:rFonts w:ascii="Times New Roman" w:hAnsi="Times New Roman" w:cs="Times New Roman"/>
          <w:sz w:val="24"/>
          <w:szCs w:val="24"/>
        </w:rPr>
        <w:t xml:space="preserve">Bazenu Rijeka </w:t>
      </w:r>
      <w:r w:rsidR="00BB3559">
        <w:rPr>
          <w:rFonts w:ascii="Times New Roman" w:hAnsi="Times New Roman" w:cs="Times New Roman"/>
          <w:sz w:val="24"/>
          <w:szCs w:val="24"/>
        </w:rPr>
        <w:t xml:space="preserve">te </w:t>
      </w:r>
      <w:r w:rsidR="0015680A" w:rsidRPr="0015680A">
        <w:rPr>
          <w:rFonts w:ascii="Times New Roman" w:hAnsi="Times New Roman" w:cs="Times New Roman"/>
          <w:sz w:val="24"/>
          <w:szCs w:val="24"/>
        </w:rPr>
        <w:t xml:space="preserve">u </w:t>
      </w:r>
      <w:r w:rsidR="00BB3559">
        <w:rPr>
          <w:rFonts w:ascii="Times New Roman" w:hAnsi="Times New Roman" w:cs="Times New Roman"/>
          <w:sz w:val="24"/>
          <w:szCs w:val="24"/>
        </w:rPr>
        <w:t>sklopu</w:t>
      </w:r>
      <w:r w:rsidR="0015680A" w:rsidRPr="0015680A">
        <w:rPr>
          <w:rFonts w:ascii="Times New Roman" w:hAnsi="Times New Roman" w:cs="Times New Roman"/>
          <w:sz w:val="24"/>
          <w:szCs w:val="24"/>
        </w:rPr>
        <w:t xml:space="preserve"> aktivnosti </w:t>
      </w:r>
      <w:r w:rsidR="00BB3559">
        <w:rPr>
          <w:rFonts w:ascii="Times New Roman" w:hAnsi="Times New Roman" w:cs="Times New Roman"/>
          <w:sz w:val="24"/>
          <w:szCs w:val="24"/>
        </w:rPr>
        <w:t xml:space="preserve">na </w:t>
      </w:r>
      <w:r w:rsidR="0015680A" w:rsidRPr="0015680A">
        <w:rPr>
          <w:rFonts w:ascii="Times New Roman" w:hAnsi="Times New Roman" w:cs="Times New Roman"/>
          <w:sz w:val="24"/>
          <w:szCs w:val="24"/>
        </w:rPr>
        <w:t>kontejnersko</w:t>
      </w:r>
      <w:r w:rsidR="00BB3559">
        <w:rPr>
          <w:rFonts w:ascii="Times New Roman" w:hAnsi="Times New Roman" w:cs="Times New Roman"/>
          <w:sz w:val="24"/>
          <w:szCs w:val="24"/>
        </w:rPr>
        <w:t>m</w:t>
      </w:r>
      <w:r w:rsidR="0015680A" w:rsidRPr="0015680A">
        <w:rPr>
          <w:rFonts w:ascii="Times New Roman" w:hAnsi="Times New Roman" w:cs="Times New Roman"/>
          <w:sz w:val="24"/>
          <w:szCs w:val="24"/>
        </w:rPr>
        <w:t xml:space="preserve"> terminal</w:t>
      </w:r>
      <w:r w:rsidR="00BB3559">
        <w:rPr>
          <w:rFonts w:ascii="Times New Roman" w:hAnsi="Times New Roman" w:cs="Times New Roman"/>
          <w:sz w:val="24"/>
          <w:szCs w:val="24"/>
        </w:rPr>
        <w:t>u</w:t>
      </w:r>
      <w:r w:rsidR="0015680A" w:rsidRPr="0015680A">
        <w:rPr>
          <w:rFonts w:ascii="Times New Roman" w:hAnsi="Times New Roman" w:cs="Times New Roman"/>
          <w:sz w:val="24"/>
          <w:szCs w:val="24"/>
        </w:rPr>
        <w:t xml:space="preserve"> na Zagrebačkoj obali</w:t>
      </w:r>
      <w:r w:rsidR="00BB3559">
        <w:rPr>
          <w:rFonts w:ascii="Times New Roman" w:hAnsi="Times New Roman" w:cs="Times New Roman"/>
          <w:sz w:val="24"/>
          <w:szCs w:val="24"/>
        </w:rPr>
        <w:t>;</w:t>
      </w:r>
      <w:r w:rsidR="00915A42" w:rsidRPr="001579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2C0357" w14:textId="7014E8D5" w:rsidR="00967C0E" w:rsidRDefault="00967C0E" w:rsidP="00797AF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7C0E">
        <w:rPr>
          <w:rFonts w:ascii="Times New Roman" w:hAnsi="Times New Roman" w:cs="Times New Roman"/>
          <w:sz w:val="24"/>
          <w:szCs w:val="24"/>
        </w:rPr>
        <w:t>9,000.00</w:t>
      </w:r>
      <w:r>
        <w:rPr>
          <w:rFonts w:ascii="Times New Roman" w:hAnsi="Times New Roman" w:cs="Times New Roman"/>
          <w:sz w:val="24"/>
          <w:szCs w:val="24"/>
        </w:rPr>
        <w:t xml:space="preserve"> EUR predstavlja smanjenje u obujmu dugotrajne nefinancijske imovine u pripremi </w:t>
      </w:r>
      <w:r w:rsidR="0015680A" w:rsidRPr="0015680A">
        <w:rPr>
          <w:rFonts w:ascii="Times New Roman" w:hAnsi="Times New Roman" w:cs="Times New Roman"/>
          <w:sz w:val="24"/>
          <w:szCs w:val="24"/>
        </w:rPr>
        <w:t xml:space="preserve">zbog </w:t>
      </w:r>
      <w:proofErr w:type="spellStart"/>
      <w:r w:rsidR="0015680A" w:rsidRPr="0015680A">
        <w:rPr>
          <w:rFonts w:ascii="Times New Roman" w:hAnsi="Times New Roman" w:cs="Times New Roman"/>
          <w:sz w:val="24"/>
          <w:szCs w:val="24"/>
        </w:rPr>
        <w:t>isknjiženja</w:t>
      </w:r>
      <w:proofErr w:type="spellEnd"/>
      <w:r w:rsidR="0015680A" w:rsidRPr="0015680A">
        <w:rPr>
          <w:rFonts w:ascii="Times New Roman" w:hAnsi="Times New Roman" w:cs="Times New Roman"/>
          <w:sz w:val="24"/>
          <w:szCs w:val="24"/>
        </w:rPr>
        <w:t xml:space="preserve"> dokumentacije za projekt koji se ne</w:t>
      </w:r>
      <w:r w:rsidR="0015680A">
        <w:rPr>
          <w:rFonts w:ascii="Times New Roman" w:hAnsi="Times New Roman" w:cs="Times New Roman"/>
          <w:sz w:val="24"/>
          <w:szCs w:val="24"/>
        </w:rPr>
        <w:t xml:space="preserve"> planira</w:t>
      </w:r>
      <w:r w:rsidR="0015680A" w:rsidRPr="0015680A">
        <w:rPr>
          <w:rFonts w:ascii="Times New Roman" w:hAnsi="Times New Roman" w:cs="Times New Roman"/>
          <w:sz w:val="24"/>
          <w:szCs w:val="24"/>
        </w:rPr>
        <w:t xml:space="preserve"> realizirati</w:t>
      </w:r>
      <w:r w:rsidR="00BB3559">
        <w:rPr>
          <w:rFonts w:ascii="Times New Roman" w:hAnsi="Times New Roman" w:cs="Times New Roman"/>
          <w:sz w:val="24"/>
          <w:szCs w:val="24"/>
        </w:rPr>
        <w:t>;</w:t>
      </w:r>
    </w:p>
    <w:p w14:paraId="30ED7D25" w14:textId="42D58C67" w:rsidR="004F6DF2" w:rsidRPr="001579A8" w:rsidRDefault="00797AFE" w:rsidP="00797AF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7C0E">
        <w:rPr>
          <w:rFonts w:ascii="Times New Roman" w:hAnsi="Times New Roman" w:cs="Times New Roman"/>
          <w:sz w:val="24"/>
          <w:szCs w:val="24"/>
        </w:rPr>
        <w:t xml:space="preserve"> 61,90 </w:t>
      </w:r>
      <w:r w:rsidR="001579A8" w:rsidRPr="001579A8">
        <w:rPr>
          <w:rFonts w:ascii="Times New Roman" w:hAnsi="Times New Roman" w:cs="Times New Roman"/>
          <w:sz w:val="24"/>
          <w:szCs w:val="24"/>
        </w:rPr>
        <w:t xml:space="preserve">EUR predstavlja smanjenje u obujmu financijske imovine i odnosi se na otpisana potraživanja. </w:t>
      </w:r>
    </w:p>
    <w:p w14:paraId="21E6CE95" w14:textId="77777777" w:rsidR="002F6EF6" w:rsidRDefault="002F6EF6" w:rsidP="00036DEE">
      <w:pPr>
        <w:pStyle w:val="Heading1"/>
      </w:pPr>
      <w:bookmarkStart w:id="9" w:name="_Toc128989461"/>
    </w:p>
    <w:p w14:paraId="5E0ED949" w14:textId="77777777" w:rsidR="000D58E1" w:rsidRPr="00614260" w:rsidRDefault="00005934" w:rsidP="00036DEE">
      <w:pPr>
        <w:pStyle w:val="Heading1"/>
      </w:pPr>
      <w:r w:rsidRPr="00AA6CFD">
        <w:t>R A S – f u n k c i j s k i</w:t>
      </w:r>
      <w:bookmarkEnd w:id="9"/>
    </w:p>
    <w:p w14:paraId="7AB2AE0B" w14:textId="77777777" w:rsidR="000D58E1" w:rsidRDefault="00D91326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Promet </w:t>
      </w:r>
      <w:r w:rsidRPr="00D649D7">
        <w:rPr>
          <w:rFonts w:ascii="Times New Roman" w:hAnsi="Times New Roman" w:cs="Times New Roman"/>
          <w:b/>
          <w:sz w:val="24"/>
          <w:szCs w:val="24"/>
        </w:rPr>
        <w:t>(045)</w:t>
      </w:r>
    </w:p>
    <w:p w14:paraId="2B47AAD4" w14:textId="4FD4CE8A" w:rsidR="004F6DF2" w:rsidRPr="004F6DF2" w:rsidRDefault="00380354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77715FE1" w14:textId="77777777" w:rsidR="00CC75C5" w:rsidRPr="00D649D7" w:rsidRDefault="00CC75C5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Cestovni promet </w:t>
      </w:r>
      <w:r w:rsidRPr="00D649D7">
        <w:rPr>
          <w:rFonts w:ascii="Times New Roman" w:hAnsi="Times New Roman" w:cs="Times New Roman"/>
          <w:b/>
          <w:sz w:val="24"/>
          <w:szCs w:val="24"/>
        </w:rPr>
        <w:t>(0451)</w:t>
      </w:r>
    </w:p>
    <w:p w14:paraId="432CE752" w14:textId="4EDE9D2A" w:rsidR="004F6DF2" w:rsidRPr="004F6DF2" w:rsidRDefault="00E602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5F96760E" w14:textId="720CE80A" w:rsidR="00380354" w:rsidRPr="00380354" w:rsidRDefault="00CC75C5" w:rsidP="008C3B3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6253E">
        <w:rPr>
          <w:rFonts w:ascii="Times New Roman" w:hAnsi="Times New Roman" w:cs="Times New Roman"/>
          <w:b/>
          <w:sz w:val="24"/>
          <w:szCs w:val="24"/>
        </w:rPr>
        <w:t>Promet vodnim putevima</w:t>
      </w:r>
      <w:r w:rsidRPr="00380354">
        <w:rPr>
          <w:rFonts w:ascii="Times New Roman" w:hAnsi="Times New Roman" w:cs="Times New Roman"/>
          <w:sz w:val="24"/>
          <w:szCs w:val="24"/>
        </w:rPr>
        <w:t xml:space="preserve"> </w:t>
      </w:r>
      <w:r w:rsidRPr="00380354">
        <w:rPr>
          <w:rFonts w:ascii="Times New Roman" w:hAnsi="Times New Roman" w:cs="Times New Roman"/>
          <w:b/>
          <w:sz w:val="24"/>
          <w:szCs w:val="24"/>
        </w:rPr>
        <w:t>(0452)</w:t>
      </w:r>
    </w:p>
    <w:p w14:paraId="7A685E2B" w14:textId="4B7271F2" w:rsidR="004F6DF2" w:rsidRPr="004F6DF2" w:rsidRDefault="00380354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380354">
        <w:rPr>
          <w:rFonts w:ascii="Times New Roman" w:hAnsi="Times New Roman" w:cs="Times New Roman"/>
          <w:sz w:val="24"/>
          <w:szCs w:val="24"/>
        </w:rPr>
        <w:t>U Izvještaju o rashodima prema funkcijskoj klasifikaciji za 202</w:t>
      </w:r>
      <w:r w:rsidR="00AA6CFD">
        <w:rPr>
          <w:rFonts w:ascii="Times New Roman" w:hAnsi="Times New Roman" w:cs="Times New Roman"/>
          <w:sz w:val="24"/>
          <w:szCs w:val="24"/>
        </w:rPr>
        <w:t>4</w:t>
      </w:r>
      <w:r w:rsidRPr="00380354">
        <w:rPr>
          <w:rFonts w:ascii="Times New Roman" w:hAnsi="Times New Roman" w:cs="Times New Roman"/>
          <w:sz w:val="24"/>
          <w:szCs w:val="24"/>
        </w:rPr>
        <w:t>.</w:t>
      </w:r>
      <w:r w:rsidR="000C0D05">
        <w:rPr>
          <w:rFonts w:ascii="Times New Roman" w:hAnsi="Times New Roman" w:cs="Times New Roman"/>
          <w:sz w:val="24"/>
          <w:szCs w:val="24"/>
        </w:rPr>
        <w:t xml:space="preserve"> </w:t>
      </w:r>
      <w:r w:rsidRPr="00380354">
        <w:rPr>
          <w:rFonts w:ascii="Times New Roman" w:hAnsi="Times New Roman" w:cs="Times New Roman"/>
          <w:sz w:val="24"/>
          <w:szCs w:val="24"/>
        </w:rPr>
        <w:t xml:space="preserve">godinu razvrstani su rashodi poslovanja (razred 3) i rashodi za nabavu nefinancijske imovine (razred 4) sukladno Pravilniku o proračunskim klasifikacijama </w:t>
      </w:r>
      <w:r w:rsidR="000C0D05">
        <w:rPr>
          <w:rFonts w:ascii="Times New Roman" w:hAnsi="Times New Roman" w:cs="Times New Roman"/>
          <w:sz w:val="24"/>
          <w:szCs w:val="24"/>
        </w:rPr>
        <w:t xml:space="preserve">i to </w:t>
      </w:r>
      <w:r w:rsidRPr="00380354">
        <w:rPr>
          <w:rFonts w:ascii="Times New Roman" w:hAnsi="Times New Roman" w:cs="Times New Roman"/>
          <w:sz w:val="24"/>
          <w:szCs w:val="24"/>
        </w:rPr>
        <w:t xml:space="preserve">unutar oznake 0452 – Promet vodenim tokovima </w:t>
      </w:r>
      <w:r w:rsidR="005771AE">
        <w:rPr>
          <w:rFonts w:ascii="Times New Roman" w:hAnsi="Times New Roman" w:cs="Times New Roman"/>
          <w:sz w:val="24"/>
          <w:szCs w:val="24"/>
        </w:rPr>
        <w:t xml:space="preserve">- </w:t>
      </w:r>
      <w:r w:rsidR="00AA6CFD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AA6CFD" w:rsidRPr="00AA6CFD">
        <w:rPr>
          <w:rFonts w:ascii="Times New Roman" w:hAnsi="Times New Roman" w:cs="Times New Roman"/>
          <w:sz w:val="24"/>
          <w:szCs w:val="24"/>
        </w:rPr>
        <w:t>30</w:t>
      </w:r>
      <w:r w:rsidR="00D775A2">
        <w:rPr>
          <w:rFonts w:ascii="Times New Roman" w:hAnsi="Times New Roman" w:cs="Times New Roman"/>
          <w:sz w:val="24"/>
          <w:szCs w:val="24"/>
        </w:rPr>
        <w:t>.</w:t>
      </w:r>
      <w:r w:rsidR="00AA6CFD" w:rsidRPr="00AA6CFD">
        <w:rPr>
          <w:rFonts w:ascii="Times New Roman" w:hAnsi="Times New Roman" w:cs="Times New Roman"/>
          <w:sz w:val="24"/>
          <w:szCs w:val="24"/>
        </w:rPr>
        <w:t>477</w:t>
      </w:r>
      <w:r w:rsidR="00D775A2">
        <w:rPr>
          <w:rFonts w:ascii="Times New Roman" w:hAnsi="Times New Roman" w:cs="Times New Roman"/>
          <w:sz w:val="24"/>
          <w:szCs w:val="24"/>
        </w:rPr>
        <w:t>.374</w:t>
      </w:r>
      <w:r w:rsidR="00AA6CFD" w:rsidRPr="00AA6CFD">
        <w:rPr>
          <w:rFonts w:ascii="Times New Roman" w:hAnsi="Times New Roman" w:cs="Times New Roman"/>
          <w:sz w:val="24"/>
          <w:szCs w:val="24"/>
        </w:rPr>
        <w:t>.</w:t>
      </w:r>
      <w:r w:rsidR="00D775A2">
        <w:rPr>
          <w:rFonts w:ascii="Times New Roman" w:hAnsi="Times New Roman" w:cs="Times New Roman"/>
          <w:sz w:val="24"/>
          <w:szCs w:val="24"/>
        </w:rPr>
        <w:t>8</w:t>
      </w:r>
      <w:r w:rsidR="00AA6CFD" w:rsidRPr="00AA6CFD">
        <w:rPr>
          <w:rFonts w:ascii="Times New Roman" w:hAnsi="Times New Roman" w:cs="Times New Roman"/>
          <w:sz w:val="24"/>
          <w:szCs w:val="24"/>
        </w:rPr>
        <w:t xml:space="preserve">9 </w:t>
      </w:r>
      <w:r w:rsidR="00ED3633">
        <w:rPr>
          <w:rFonts w:ascii="Times New Roman" w:hAnsi="Times New Roman" w:cs="Times New Roman"/>
          <w:sz w:val="24"/>
          <w:szCs w:val="24"/>
        </w:rPr>
        <w:t>EUR</w:t>
      </w:r>
      <w:r w:rsidR="00AA6CFD">
        <w:rPr>
          <w:rFonts w:ascii="Times New Roman" w:hAnsi="Times New Roman" w:cs="Times New Roman"/>
          <w:sz w:val="24"/>
          <w:szCs w:val="24"/>
        </w:rPr>
        <w:t>.</w:t>
      </w:r>
      <w:r w:rsidR="00ED3633">
        <w:rPr>
          <w:rFonts w:ascii="Times New Roman" w:hAnsi="Times New Roman" w:cs="Times New Roman"/>
          <w:sz w:val="24"/>
          <w:szCs w:val="24"/>
        </w:rPr>
        <w:t xml:space="preserve"> </w:t>
      </w:r>
      <w:r w:rsidR="002E0AD0" w:rsidRPr="002E0AD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E0AD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10F18325" w14:textId="77777777" w:rsidR="00CC75C5" w:rsidRPr="00D649D7" w:rsidRDefault="00CC75C5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Željeznički promet </w:t>
      </w:r>
      <w:r w:rsidRPr="00D649D7">
        <w:rPr>
          <w:rFonts w:ascii="Times New Roman" w:hAnsi="Times New Roman" w:cs="Times New Roman"/>
          <w:b/>
          <w:sz w:val="24"/>
          <w:szCs w:val="24"/>
        </w:rPr>
        <w:t>(0453)</w:t>
      </w:r>
    </w:p>
    <w:p w14:paraId="02213E98" w14:textId="6F7DAC4A" w:rsidR="004F6DF2" w:rsidRPr="004F6DF2" w:rsidRDefault="00E602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6CFD" w:rsidRPr="00AA6CFD">
        <w:rPr>
          <w:rFonts w:ascii="Times New Roman" w:hAnsi="Times New Roman" w:cs="Times New Roman"/>
          <w:sz w:val="24"/>
          <w:szCs w:val="24"/>
        </w:rPr>
        <w:t>U Izvještaju o rashodima prema funkcijskoj klasifikaciji za 2024.</w:t>
      </w:r>
      <w:r w:rsidR="000C0D05">
        <w:rPr>
          <w:rFonts w:ascii="Times New Roman" w:hAnsi="Times New Roman" w:cs="Times New Roman"/>
          <w:sz w:val="24"/>
          <w:szCs w:val="24"/>
        </w:rPr>
        <w:t xml:space="preserve"> </w:t>
      </w:r>
      <w:r w:rsidR="00AA6CFD" w:rsidRPr="00AA6CFD">
        <w:rPr>
          <w:rFonts w:ascii="Times New Roman" w:hAnsi="Times New Roman" w:cs="Times New Roman"/>
          <w:sz w:val="24"/>
          <w:szCs w:val="24"/>
        </w:rPr>
        <w:t xml:space="preserve">godinu razvrstani su rashodi poslovanja (razred 3) i rashodi za nabavu nefinancijske imovine (razred 4) sukladno Pravilniku o </w:t>
      </w:r>
      <w:r w:rsidR="00AA6CFD" w:rsidRPr="00AA6CFD">
        <w:rPr>
          <w:rFonts w:ascii="Times New Roman" w:hAnsi="Times New Roman" w:cs="Times New Roman"/>
          <w:sz w:val="24"/>
          <w:szCs w:val="24"/>
        </w:rPr>
        <w:lastRenderedPageBreak/>
        <w:t>proračunskim klasifikacijama</w:t>
      </w:r>
      <w:r w:rsidR="000C0D05">
        <w:rPr>
          <w:rFonts w:ascii="Times New Roman" w:hAnsi="Times New Roman" w:cs="Times New Roman"/>
          <w:sz w:val="24"/>
          <w:szCs w:val="24"/>
        </w:rPr>
        <w:t xml:space="preserve"> i to</w:t>
      </w:r>
      <w:r w:rsidR="00AA6CFD" w:rsidRPr="00AA6CFD">
        <w:rPr>
          <w:rFonts w:ascii="Times New Roman" w:hAnsi="Times New Roman" w:cs="Times New Roman"/>
          <w:sz w:val="24"/>
          <w:szCs w:val="24"/>
        </w:rPr>
        <w:t xml:space="preserve"> unutar oznake</w:t>
      </w:r>
      <w:r w:rsidR="00AA6CFD">
        <w:rPr>
          <w:rFonts w:ascii="Times New Roman" w:hAnsi="Times New Roman" w:cs="Times New Roman"/>
          <w:sz w:val="24"/>
          <w:szCs w:val="24"/>
        </w:rPr>
        <w:t xml:space="preserve"> 0453 – Željeznički promet </w:t>
      </w:r>
      <w:r w:rsidR="005771AE">
        <w:rPr>
          <w:rFonts w:ascii="Times New Roman" w:hAnsi="Times New Roman" w:cs="Times New Roman"/>
          <w:sz w:val="24"/>
          <w:szCs w:val="24"/>
        </w:rPr>
        <w:t xml:space="preserve">- </w:t>
      </w:r>
      <w:r w:rsidR="00AA6CFD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AA6CFD" w:rsidRPr="00AA6CFD">
        <w:rPr>
          <w:rFonts w:ascii="Times New Roman" w:hAnsi="Times New Roman" w:cs="Times New Roman"/>
          <w:sz w:val="24"/>
          <w:szCs w:val="24"/>
        </w:rPr>
        <w:t>2</w:t>
      </w:r>
      <w:r w:rsidR="00A665F6">
        <w:rPr>
          <w:rFonts w:ascii="Times New Roman" w:hAnsi="Times New Roman" w:cs="Times New Roman"/>
          <w:sz w:val="24"/>
          <w:szCs w:val="24"/>
        </w:rPr>
        <w:t>.</w:t>
      </w:r>
      <w:r w:rsidR="00AA6CFD" w:rsidRPr="00AA6CFD">
        <w:rPr>
          <w:rFonts w:ascii="Times New Roman" w:hAnsi="Times New Roman" w:cs="Times New Roman"/>
          <w:sz w:val="24"/>
          <w:szCs w:val="24"/>
        </w:rPr>
        <w:t>210</w:t>
      </w:r>
      <w:r w:rsidR="00A665F6">
        <w:rPr>
          <w:rFonts w:ascii="Times New Roman" w:hAnsi="Times New Roman" w:cs="Times New Roman"/>
          <w:sz w:val="24"/>
          <w:szCs w:val="24"/>
        </w:rPr>
        <w:t>.</w:t>
      </w:r>
      <w:r w:rsidR="00AA6CFD" w:rsidRPr="00AA6CFD">
        <w:rPr>
          <w:rFonts w:ascii="Times New Roman" w:hAnsi="Times New Roman" w:cs="Times New Roman"/>
          <w:sz w:val="24"/>
          <w:szCs w:val="24"/>
        </w:rPr>
        <w:t>596</w:t>
      </w:r>
      <w:r w:rsidR="00A665F6">
        <w:rPr>
          <w:rFonts w:ascii="Times New Roman" w:hAnsi="Times New Roman" w:cs="Times New Roman"/>
          <w:sz w:val="24"/>
          <w:szCs w:val="24"/>
        </w:rPr>
        <w:t>,</w:t>
      </w:r>
      <w:r w:rsidR="00AA6CFD" w:rsidRPr="00AA6CFD">
        <w:rPr>
          <w:rFonts w:ascii="Times New Roman" w:hAnsi="Times New Roman" w:cs="Times New Roman"/>
          <w:sz w:val="24"/>
          <w:szCs w:val="24"/>
        </w:rPr>
        <w:t>52</w:t>
      </w:r>
      <w:r w:rsidR="00AA6CFD">
        <w:rPr>
          <w:rFonts w:ascii="Times New Roman" w:hAnsi="Times New Roman" w:cs="Times New Roman"/>
          <w:sz w:val="24"/>
          <w:szCs w:val="24"/>
        </w:rPr>
        <w:t xml:space="preserve"> EUR. </w:t>
      </w:r>
    </w:p>
    <w:p w14:paraId="506AFCA6" w14:textId="77777777" w:rsidR="00CC75C5" w:rsidRPr="00D649D7" w:rsidRDefault="00CC75C5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Zračni promet </w:t>
      </w:r>
      <w:r w:rsidRPr="00D649D7">
        <w:rPr>
          <w:rFonts w:ascii="Times New Roman" w:hAnsi="Times New Roman" w:cs="Times New Roman"/>
          <w:b/>
          <w:sz w:val="24"/>
          <w:szCs w:val="24"/>
        </w:rPr>
        <w:t>(0454)</w:t>
      </w:r>
    </w:p>
    <w:p w14:paraId="354F438A" w14:textId="714999D5" w:rsidR="004F6DF2" w:rsidRPr="004F6DF2" w:rsidRDefault="00E602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3CDEDC6D" w14:textId="77777777" w:rsidR="00CC75C5" w:rsidRPr="00D649D7" w:rsidRDefault="00CC75C5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Promet cjevovodima i ostali promet </w:t>
      </w:r>
      <w:r w:rsidRPr="00D649D7">
        <w:rPr>
          <w:rFonts w:ascii="Times New Roman" w:hAnsi="Times New Roman" w:cs="Times New Roman"/>
          <w:b/>
          <w:sz w:val="24"/>
          <w:szCs w:val="24"/>
        </w:rPr>
        <w:t>(0455)</w:t>
      </w:r>
    </w:p>
    <w:p w14:paraId="3EDC6318" w14:textId="67A44342" w:rsidR="004F6DF2" w:rsidRDefault="00E602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5041EC70" w14:textId="77777777" w:rsidR="00005934" w:rsidRDefault="00005934" w:rsidP="00005934">
      <w:pPr>
        <w:rPr>
          <w:rFonts w:ascii="Times New Roman" w:hAnsi="Times New Roman" w:cs="Times New Roman"/>
          <w:sz w:val="28"/>
          <w:szCs w:val="28"/>
        </w:rPr>
      </w:pPr>
    </w:p>
    <w:p w14:paraId="0C185AB5" w14:textId="77777777" w:rsidR="00005934" w:rsidRPr="00D649D7" w:rsidRDefault="00005934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6253E">
        <w:rPr>
          <w:rFonts w:ascii="Times New Roman" w:hAnsi="Times New Roman" w:cs="Times New Roman"/>
          <w:b/>
          <w:sz w:val="24"/>
          <w:szCs w:val="24"/>
        </w:rPr>
        <w:t>Stanje obveza na kraju izvještajnog razdoblja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9D7">
        <w:rPr>
          <w:rFonts w:ascii="Times New Roman" w:hAnsi="Times New Roman" w:cs="Times New Roman"/>
          <w:b/>
          <w:sz w:val="24"/>
          <w:szCs w:val="24"/>
        </w:rPr>
        <w:t>(V006)</w:t>
      </w:r>
    </w:p>
    <w:p w14:paraId="01CC4702" w14:textId="4393A481" w:rsidR="003E7523" w:rsidRPr="003E7523" w:rsidRDefault="003E7523" w:rsidP="003E752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3E7523">
        <w:rPr>
          <w:rFonts w:ascii="Times New Roman" w:hAnsi="Times New Roman" w:cs="Times New Roman"/>
          <w:sz w:val="24"/>
          <w:szCs w:val="24"/>
        </w:rPr>
        <w:t>U Izvještaju o obvezama utvrđeni iznos obveza na dan 31.12.202</w:t>
      </w:r>
      <w:r w:rsidR="00441502">
        <w:rPr>
          <w:rFonts w:ascii="Times New Roman" w:hAnsi="Times New Roman" w:cs="Times New Roman"/>
          <w:sz w:val="24"/>
          <w:szCs w:val="24"/>
        </w:rPr>
        <w:t>4</w:t>
      </w:r>
      <w:r w:rsidRPr="003E7523">
        <w:rPr>
          <w:rFonts w:ascii="Times New Roman" w:hAnsi="Times New Roman" w:cs="Times New Roman"/>
          <w:sz w:val="24"/>
          <w:szCs w:val="24"/>
        </w:rPr>
        <w:t xml:space="preserve">.godine (Šifra V006) iznosi </w:t>
      </w:r>
      <w:r w:rsidR="00441502">
        <w:rPr>
          <w:rFonts w:ascii="Times New Roman" w:hAnsi="Times New Roman" w:cs="Times New Roman"/>
          <w:sz w:val="24"/>
          <w:szCs w:val="24"/>
        </w:rPr>
        <w:t xml:space="preserve">  </w:t>
      </w:r>
      <w:r w:rsidR="00441502" w:rsidRPr="00441502">
        <w:rPr>
          <w:rFonts w:ascii="Times New Roman" w:hAnsi="Times New Roman" w:cs="Times New Roman"/>
          <w:sz w:val="24"/>
          <w:szCs w:val="24"/>
        </w:rPr>
        <w:t>73,522,323.35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Pr="003E7523">
        <w:rPr>
          <w:rFonts w:ascii="Times New Roman" w:hAnsi="Times New Roman" w:cs="Times New Roman"/>
          <w:sz w:val="24"/>
          <w:szCs w:val="24"/>
        </w:rPr>
        <w:t xml:space="preserve"> što je jednako zbroju razreda 2 u bruto bilanci i zbroju obveza iskazanih u Bilanci (Šifra 2).</w:t>
      </w:r>
      <w:r w:rsidRPr="003E7523">
        <w:rPr>
          <w:rFonts w:ascii="Arial" w:hAnsi="Arial" w:cs="Arial"/>
          <w:b/>
          <w:bCs/>
          <w:color w:val="002060"/>
          <w:sz w:val="16"/>
          <w:szCs w:val="16"/>
        </w:rPr>
        <w:t xml:space="preserve"> </w:t>
      </w:r>
    </w:p>
    <w:p w14:paraId="319191E6" w14:textId="77777777" w:rsidR="00005934" w:rsidRPr="00D649D7" w:rsidRDefault="00005934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6253E">
        <w:rPr>
          <w:rFonts w:ascii="Times New Roman" w:hAnsi="Times New Roman" w:cs="Times New Roman"/>
          <w:b/>
          <w:sz w:val="24"/>
          <w:szCs w:val="24"/>
        </w:rPr>
        <w:t xml:space="preserve">Stanje dospjelih obveza na kraju izvještajnog razdoblja </w:t>
      </w:r>
      <w:r w:rsidRPr="00D649D7">
        <w:rPr>
          <w:rFonts w:ascii="Times New Roman" w:hAnsi="Times New Roman" w:cs="Times New Roman"/>
          <w:b/>
          <w:sz w:val="24"/>
          <w:szCs w:val="24"/>
        </w:rPr>
        <w:t>(V007)</w:t>
      </w:r>
    </w:p>
    <w:p w14:paraId="0FB947C3" w14:textId="1CBC99E0" w:rsidR="004F6DF2" w:rsidRPr="004F6DF2" w:rsidRDefault="00BF2EF0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3E7523">
        <w:rPr>
          <w:rFonts w:ascii="Times New Roman" w:hAnsi="Times New Roman" w:cs="Times New Roman"/>
          <w:sz w:val="24"/>
          <w:szCs w:val="24"/>
        </w:rPr>
        <w:t xml:space="preserve">Na kraju izvještajnog razdoblja evidentirane dospjele obveze </w:t>
      </w:r>
      <w:r w:rsidR="00441502">
        <w:rPr>
          <w:rFonts w:ascii="Times New Roman" w:hAnsi="Times New Roman" w:cs="Times New Roman"/>
          <w:sz w:val="24"/>
          <w:szCs w:val="24"/>
        </w:rPr>
        <w:t xml:space="preserve">iznose </w:t>
      </w:r>
      <w:r w:rsidR="00441502" w:rsidRPr="00441502">
        <w:rPr>
          <w:rFonts w:ascii="Times New Roman" w:hAnsi="Times New Roman" w:cs="Times New Roman"/>
          <w:sz w:val="24"/>
          <w:szCs w:val="24"/>
        </w:rPr>
        <w:t>327</w:t>
      </w:r>
      <w:r w:rsidR="00441502">
        <w:rPr>
          <w:rFonts w:ascii="Times New Roman" w:hAnsi="Times New Roman" w:cs="Times New Roman"/>
          <w:sz w:val="24"/>
          <w:szCs w:val="24"/>
        </w:rPr>
        <w:t>.</w:t>
      </w:r>
      <w:r w:rsidR="00441502" w:rsidRPr="00441502">
        <w:rPr>
          <w:rFonts w:ascii="Times New Roman" w:hAnsi="Times New Roman" w:cs="Times New Roman"/>
          <w:sz w:val="24"/>
          <w:szCs w:val="24"/>
        </w:rPr>
        <w:t>113</w:t>
      </w:r>
      <w:r w:rsidR="00441502">
        <w:rPr>
          <w:rFonts w:ascii="Times New Roman" w:hAnsi="Times New Roman" w:cs="Times New Roman"/>
          <w:sz w:val="24"/>
          <w:szCs w:val="24"/>
        </w:rPr>
        <w:t>,</w:t>
      </w:r>
      <w:r w:rsidR="00441502" w:rsidRPr="00441502">
        <w:rPr>
          <w:rFonts w:ascii="Times New Roman" w:hAnsi="Times New Roman" w:cs="Times New Roman"/>
          <w:sz w:val="24"/>
          <w:szCs w:val="24"/>
        </w:rPr>
        <w:t>15</w:t>
      </w:r>
      <w:r w:rsidR="00441502">
        <w:rPr>
          <w:rFonts w:ascii="Times New Roman" w:hAnsi="Times New Roman" w:cs="Times New Roman"/>
          <w:sz w:val="24"/>
          <w:szCs w:val="24"/>
        </w:rPr>
        <w:t xml:space="preserve"> EUR od čega se na obveze za materijalne rashode odnosi </w:t>
      </w:r>
      <w:r w:rsidR="00441502" w:rsidRPr="00441502">
        <w:rPr>
          <w:rFonts w:ascii="Times New Roman" w:hAnsi="Times New Roman" w:cs="Times New Roman"/>
          <w:sz w:val="24"/>
          <w:szCs w:val="24"/>
        </w:rPr>
        <w:t>13</w:t>
      </w:r>
      <w:r w:rsidR="00441502">
        <w:rPr>
          <w:rFonts w:ascii="Times New Roman" w:hAnsi="Times New Roman" w:cs="Times New Roman"/>
          <w:sz w:val="24"/>
          <w:szCs w:val="24"/>
        </w:rPr>
        <w:t>.</w:t>
      </w:r>
      <w:r w:rsidR="00441502" w:rsidRPr="00441502">
        <w:rPr>
          <w:rFonts w:ascii="Times New Roman" w:hAnsi="Times New Roman" w:cs="Times New Roman"/>
          <w:sz w:val="24"/>
          <w:szCs w:val="24"/>
        </w:rPr>
        <w:t>139</w:t>
      </w:r>
      <w:r w:rsidR="00441502">
        <w:rPr>
          <w:rFonts w:ascii="Times New Roman" w:hAnsi="Times New Roman" w:cs="Times New Roman"/>
          <w:sz w:val="24"/>
          <w:szCs w:val="24"/>
        </w:rPr>
        <w:t>,</w:t>
      </w:r>
      <w:r w:rsidR="00441502" w:rsidRPr="00441502">
        <w:rPr>
          <w:rFonts w:ascii="Times New Roman" w:hAnsi="Times New Roman" w:cs="Times New Roman"/>
          <w:sz w:val="24"/>
          <w:szCs w:val="24"/>
        </w:rPr>
        <w:t>84</w:t>
      </w:r>
      <w:r w:rsidR="00441502">
        <w:rPr>
          <w:rFonts w:ascii="Times New Roman" w:hAnsi="Times New Roman" w:cs="Times New Roman"/>
          <w:sz w:val="24"/>
          <w:szCs w:val="24"/>
        </w:rPr>
        <w:t xml:space="preserve"> EUR, a na obvezu za otplatu kredita Erste &amp; </w:t>
      </w:r>
      <w:proofErr w:type="spellStart"/>
      <w:r w:rsidR="00441502">
        <w:rPr>
          <w:rFonts w:ascii="Times New Roman" w:hAnsi="Times New Roman" w:cs="Times New Roman"/>
          <w:sz w:val="24"/>
          <w:szCs w:val="24"/>
        </w:rPr>
        <w:t>Steiermarkische</w:t>
      </w:r>
      <w:proofErr w:type="spellEnd"/>
      <w:r w:rsidR="00441502">
        <w:rPr>
          <w:rFonts w:ascii="Times New Roman" w:hAnsi="Times New Roman" w:cs="Times New Roman"/>
          <w:sz w:val="24"/>
          <w:szCs w:val="24"/>
        </w:rPr>
        <w:t xml:space="preserve"> banke koja je dospijevala 31.12.2024. godine </w:t>
      </w:r>
      <w:r w:rsidR="00441502" w:rsidRPr="004A5AC3">
        <w:rPr>
          <w:rFonts w:ascii="Times New Roman" w:hAnsi="Times New Roman" w:cs="Times New Roman"/>
          <w:sz w:val="24"/>
          <w:szCs w:val="24"/>
        </w:rPr>
        <w:t>(i podmirena je 02.01.2025. godine</w:t>
      </w:r>
      <w:r w:rsidR="00441502">
        <w:rPr>
          <w:rFonts w:ascii="Times New Roman" w:hAnsi="Times New Roman" w:cs="Times New Roman"/>
          <w:sz w:val="24"/>
          <w:szCs w:val="24"/>
        </w:rPr>
        <w:t xml:space="preserve">) odnosi se </w:t>
      </w:r>
      <w:r w:rsidR="00441502" w:rsidRPr="00441502">
        <w:rPr>
          <w:rFonts w:ascii="Times New Roman" w:hAnsi="Times New Roman" w:cs="Times New Roman"/>
          <w:sz w:val="24"/>
          <w:szCs w:val="24"/>
        </w:rPr>
        <w:t>313</w:t>
      </w:r>
      <w:r w:rsidR="00441502">
        <w:rPr>
          <w:rFonts w:ascii="Times New Roman" w:hAnsi="Times New Roman" w:cs="Times New Roman"/>
          <w:sz w:val="24"/>
          <w:szCs w:val="24"/>
        </w:rPr>
        <w:t>.</w:t>
      </w:r>
      <w:r w:rsidR="00441502" w:rsidRPr="00441502">
        <w:rPr>
          <w:rFonts w:ascii="Times New Roman" w:hAnsi="Times New Roman" w:cs="Times New Roman"/>
          <w:sz w:val="24"/>
          <w:szCs w:val="24"/>
        </w:rPr>
        <w:t>973</w:t>
      </w:r>
      <w:r w:rsidR="00441502">
        <w:rPr>
          <w:rFonts w:ascii="Times New Roman" w:hAnsi="Times New Roman" w:cs="Times New Roman"/>
          <w:sz w:val="24"/>
          <w:szCs w:val="24"/>
        </w:rPr>
        <w:t>,</w:t>
      </w:r>
      <w:r w:rsidR="00441502" w:rsidRPr="00441502">
        <w:rPr>
          <w:rFonts w:ascii="Times New Roman" w:hAnsi="Times New Roman" w:cs="Times New Roman"/>
          <w:sz w:val="24"/>
          <w:szCs w:val="24"/>
        </w:rPr>
        <w:t>31</w:t>
      </w:r>
      <w:r w:rsidR="00441502">
        <w:rPr>
          <w:rFonts w:ascii="Times New Roman" w:hAnsi="Times New Roman" w:cs="Times New Roman"/>
          <w:sz w:val="24"/>
          <w:szCs w:val="24"/>
        </w:rPr>
        <w:t xml:space="preserve"> EUR. </w:t>
      </w:r>
    </w:p>
    <w:p w14:paraId="5202AB8D" w14:textId="77777777" w:rsidR="00CC75C5" w:rsidRPr="00D649D7" w:rsidRDefault="00CC75C5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6253E">
        <w:rPr>
          <w:rFonts w:ascii="Times New Roman" w:hAnsi="Times New Roman" w:cs="Times New Roman"/>
          <w:b/>
          <w:sz w:val="24"/>
          <w:szCs w:val="24"/>
        </w:rPr>
        <w:t>Stanje nedospjelih obveza na kraju izvještajnog razdoblja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9D7">
        <w:rPr>
          <w:rFonts w:ascii="Times New Roman" w:hAnsi="Times New Roman" w:cs="Times New Roman"/>
          <w:b/>
          <w:sz w:val="24"/>
          <w:szCs w:val="24"/>
        </w:rPr>
        <w:t>(V009)</w:t>
      </w:r>
    </w:p>
    <w:p w14:paraId="748D57A2" w14:textId="1B2C3F46" w:rsidR="004F6DF2" w:rsidRDefault="00BF2EF0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nedospjelih obveza na dan 31.12.202</w:t>
      </w:r>
      <w:r w:rsidR="0044150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 je</w:t>
      </w:r>
      <w:r w:rsidR="00441502">
        <w:rPr>
          <w:rFonts w:ascii="Times New Roman" w:hAnsi="Times New Roman" w:cs="Times New Roman"/>
          <w:sz w:val="24"/>
          <w:szCs w:val="24"/>
        </w:rPr>
        <w:t xml:space="preserve"> </w:t>
      </w:r>
      <w:r w:rsidR="00441502" w:rsidRPr="00441502">
        <w:rPr>
          <w:rFonts w:ascii="Times New Roman" w:hAnsi="Times New Roman" w:cs="Times New Roman"/>
          <w:sz w:val="24"/>
          <w:szCs w:val="24"/>
        </w:rPr>
        <w:t>73</w:t>
      </w:r>
      <w:r w:rsidR="00CD61A3">
        <w:rPr>
          <w:rFonts w:ascii="Times New Roman" w:hAnsi="Times New Roman" w:cs="Times New Roman"/>
          <w:sz w:val="24"/>
          <w:szCs w:val="24"/>
        </w:rPr>
        <w:t>.</w:t>
      </w:r>
      <w:r w:rsidR="00441502" w:rsidRPr="00441502">
        <w:rPr>
          <w:rFonts w:ascii="Times New Roman" w:hAnsi="Times New Roman" w:cs="Times New Roman"/>
          <w:sz w:val="24"/>
          <w:szCs w:val="24"/>
        </w:rPr>
        <w:t>195</w:t>
      </w:r>
      <w:r w:rsidR="00CD61A3">
        <w:rPr>
          <w:rFonts w:ascii="Times New Roman" w:hAnsi="Times New Roman" w:cs="Times New Roman"/>
          <w:sz w:val="24"/>
          <w:szCs w:val="24"/>
        </w:rPr>
        <w:t>.</w:t>
      </w:r>
      <w:r w:rsidR="00441502" w:rsidRPr="00441502">
        <w:rPr>
          <w:rFonts w:ascii="Times New Roman" w:hAnsi="Times New Roman" w:cs="Times New Roman"/>
          <w:sz w:val="24"/>
          <w:szCs w:val="24"/>
        </w:rPr>
        <w:t>210</w:t>
      </w:r>
      <w:r w:rsidR="00CD61A3">
        <w:rPr>
          <w:rFonts w:ascii="Times New Roman" w:hAnsi="Times New Roman" w:cs="Times New Roman"/>
          <w:sz w:val="24"/>
          <w:szCs w:val="24"/>
        </w:rPr>
        <w:t>,</w:t>
      </w:r>
      <w:r w:rsidR="00441502" w:rsidRPr="0044150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EUR, a od toga se najveći dio odnosi na o</w:t>
      </w:r>
      <w:r w:rsidR="003E7523" w:rsidRPr="003E7523">
        <w:rPr>
          <w:rFonts w:ascii="Times New Roman" w:hAnsi="Times New Roman" w:cs="Times New Roman"/>
          <w:sz w:val="24"/>
          <w:szCs w:val="24"/>
        </w:rPr>
        <w:t xml:space="preserve">bveze za financijsku imovinu </w:t>
      </w:r>
      <w:r>
        <w:rPr>
          <w:rFonts w:ascii="Times New Roman" w:hAnsi="Times New Roman" w:cs="Times New Roman"/>
          <w:sz w:val="24"/>
          <w:szCs w:val="24"/>
        </w:rPr>
        <w:t xml:space="preserve">koje na kraju </w:t>
      </w:r>
      <w:r w:rsidR="003E7523" w:rsidRPr="003E7523">
        <w:rPr>
          <w:rFonts w:ascii="Times New Roman" w:hAnsi="Times New Roman" w:cs="Times New Roman"/>
          <w:sz w:val="24"/>
          <w:szCs w:val="24"/>
        </w:rPr>
        <w:t>202</w:t>
      </w:r>
      <w:r w:rsidR="00441502">
        <w:rPr>
          <w:rFonts w:ascii="Times New Roman" w:hAnsi="Times New Roman" w:cs="Times New Roman"/>
          <w:sz w:val="24"/>
          <w:szCs w:val="24"/>
        </w:rPr>
        <w:t>4</w:t>
      </w:r>
      <w:r w:rsidR="003E7523" w:rsidRPr="003E7523">
        <w:rPr>
          <w:rFonts w:ascii="Times New Roman" w:hAnsi="Times New Roman" w:cs="Times New Roman"/>
          <w:sz w:val="24"/>
          <w:szCs w:val="24"/>
        </w:rPr>
        <w:t>.</w:t>
      </w:r>
      <w:r w:rsidR="00CD61A3">
        <w:rPr>
          <w:rFonts w:ascii="Times New Roman" w:hAnsi="Times New Roman" w:cs="Times New Roman"/>
          <w:sz w:val="24"/>
          <w:szCs w:val="24"/>
        </w:rPr>
        <w:t xml:space="preserve"> </w:t>
      </w:r>
      <w:r w:rsidR="003E7523" w:rsidRPr="003E7523">
        <w:rPr>
          <w:rFonts w:ascii="Times New Roman" w:hAnsi="Times New Roman" w:cs="Times New Roman"/>
          <w:sz w:val="24"/>
          <w:szCs w:val="24"/>
        </w:rPr>
        <w:t xml:space="preserve">godine iznose </w:t>
      </w:r>
      <w:r w:rsidR="00821577">
        <w:rPr>
          <w:rFonts w:ascii="Times New Roman" w:hAnsi="Times New Roman" w:cs="Times New Roman"/>
          <w:sz w:val="24"/>
          <w:szCs w:val="24"/>
        </w:rPr>
        <w:t>69.194.947,47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821577">
        <w:rPr>
          <w:rFonts w:ascii="Times New Roman" w:hAnsi="Times New Roman" w:cs="Times New Roman"/>
          <w:sz w:val="24"/>
          <w:szCs w:val="24"/>
        </w:rPr>
        <w:t>.</w:t>
      </w:r>
    </w:p>
    <w:sectPr w:rsidR="004F6DF2" w:rsidSect="00F070C4">
      <w:footerReference w:type="default" r:id="rId32"/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7CE7B" w14:textId="77777777" w:rsidR="001C7CF3" w:rsidRDefault="001C7CF3" w:rsidP="00CC75C5">
      <w:pPr>
        <w:spacing w:after="0" w:line="240" w:lineRule="auto"/>
      </w:pPr>
      <w:r>
        <w:separator/>
      </w:r>
    </w:p>
  </w:endnote>
  <w:endnote w:type="continuationSeparator" w:id="0">
    <w:p w14:paraId="0BE8E54C" w14:textId="77777777" w:rsidR="001C7CF3" w:rsidRDefault="001C7CF3" w:rsidP="00CC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248722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8DBCEC" w14:textId="2484C727" w:rsidR="008C3B3C" w:rsidRDefault="008C3B3C">
            <w:pPr>
              <w:pStyle w:val="Footer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372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3727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957E68" w14:textId="77777777" w:rsidR="008C3B3C" w:rsidRDefault="008C3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86502" w14:textId="77777777" w:rsidR="001C7CF3" w:rsidRDefault="001C7CF3" w:rsidP="00CC75C5">
      <w:pPr>
        <w:spacing w:after="0" w:line="240" w:lineRule="auto"/>
      </w:pPr>
      <w:r>
        <w:separator/>
      </w:r>
    </w:p>
  </w:footnote>
  <w:footnote w:type="continuationSeparator" w:id="0">
    <w:p w14:paraId="0C4A6E56" w14:textId="77777777" w:rsidR="001C7CF3" w:rsidRDefault="001C7CF3" w:rsidP="00CC7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581F"/>
    <w:multiLevelType w:val="hybridMultilevel"/>
    <w:tmpl w:val="1A545E68"/>
    <w:lvl w:ilvl="0" w:tplc="E954CD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D70F3"/>
    <w:multiLevelType w:val="hybridMultilevel"/>
    <w:tmpl w:val="72D86476"/>
    <w:lvl w:ilvl="0" w:tplc="658AD510">
      <w:start w:val="5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FFD3018"/>
    <w:multiLevelType w:val="hybridMultilevel"/>
    <w:tmpl w:val="A2066004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228637D"/>
    <w:multiLevelType w:val="hybridMultilevel"/>
    <w:tmpl w:val="0318263C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5136249"/>
    <w:multiLevelType w:val="hybridMultilevel"/>
    <w:tmpl w:val="E90ABDEA"/>
    <w:lvl w:ilvl="0" w:tplc="323CAF2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75E57CE"/>
    <w:multiLevelType w:val="hybridMultilevel"/>
    <w:tmpl w:val="9FA61B6A"/>
    <w:lvl w:ilvl="0" w:tplc="090C7E7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CCF0CB5"/>
    <w:multiLevelType w:val="hybridMultilevel"/>
    <w:tmpl w:val="6994EE04"/>
    <w:lvl w:ilvl="0" w:tplc="6C86DB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96E09"/>
    <w:multiLevelType w:val="hybridMultilevel"/>
    <w:tmpl w:val="16F4F496"/>
    <w:lvl w:ilvl="0" w:tplc="F244C4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16D83"/>
    <w:multiLevelType w:val="hybridMultilevel"/>
    <w:tmpl w:val="0ADA96EE"/>
    <w:lvl w:ilvl="0" w:tplc="041A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429279064">
    <w:abstractNumId w:val="4"/>
  </w:num>
  <w:num w:numId="2" w16cid:durableId="2076513547">
    <w:abstractNumId w:val="8"/>
  </w:num>
  <w:num w:numId="3" w16cid:durableId="1290630429">
    <w:abstractNumId w:val="3"/>
  </w:num>
  <w:num w:numId="4" w16cid:durableId="551960790">
    <w:abstractNumId w:val="2"/>
  </w:num>
  <w:num w:numId="5" w16cid:durableId="1184788616">
    <w:abstractNumId w:val="1"/>
  </w:num>
  <w:num w:numId="6" w16cid:durableId="1499466979">
    <w:abstractNumId w:val="6"/>
  </w:num>
  <w:num w:numId="7" w16cid:durableId="141655680">
    <w:abstractNumId w:val="5"/>
  </w:num>
  <w:num w:numId="8" w16cid:durableId="957377345">
    <w:abstractNumId w:val="7"/>
  </w:num>
  <w:num w:numId="9" w16cid:durableId="2061973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E21"/>
    <w:rsid w:val="00003E46"/>
    <w:rsid w:val="000048B5"/>
    <w:rsid w:val="00005629"/>
    <w:rsid w:val="00005934"/>
    <w:rsid w:val="0002330D"/>
    <w:rsid w:val="00023401"/>
    <w:rsid w:val="00027CA4"/>
    <w:rsid w:val="00036DEE"/>
    <w:rsid w:val="000449C6"/>
    <w:rsid w:val="00047ED1"/>
    <w:rsid w:val="0005405D"/>
    <w:rsid w:val="00054462"/>
    <w:rsid w:val="00057610"/>
    <w:rsid w:val="00057C2C"/>
    <w:rsid w:val="00057FE7"/>
    <w:rsid w:val="00064C4E"/>
    <w:rsid w:val="00065DCB"/>
    <w:rsid w:val="00081793"/>
    <w:rsid w:val="000830C9"/>
    <w:rsid w:val="000934DF"/>
    <w:rsid w:val="000A0ED1"/>
    <w:rsid w:val="000A18EF"/>
    <w:rsid w:val="000B19EF"/>
    <w:rsid w:val="000C01F8"/>
    <w:rsid w:val="000C0D05"/>
    <w:rsid w:val="000C2D9C"/>
    <w:rsid w:val="000D016D"/>
    <w:rsid w:val="000D58E1"/>
    <w:rsid w:val="000D6434"/>
    <w:rsid w:val="000D65F4"/>
    <w:rsid w:val="000E2812"/>
    <w:rsid w:val="001025BB"/>
    <w:rsid w:val="001068D2"/>
    <w:rsid w:val="00111CEE"/>
    <w:rsid w:val="00112108"/>
    <w:rsid w:val="001235A2"/>
    <w:rsid w:val="00124499"/>
    <w:rsid w:val="001423D8"/>
    <w:rsid w:val="00152D4C"/>
    <w:rsid w:val="0015680A"/>
    <w:rsid w:val="001579A8"/>
    <w:rsid w:val="00164A92"/>
    <w:rsid w:val="00170E21"/>
    <w:rsid w:val="00172683"/>
    <w:rsid w:val="0018008F"/>
    <w:rsid w:val="001A598F"/>
    <w:rsid w:val="001B1B0F"/>
    <w:rsid w:val="001B7204"/>
    <w:rsid w:val="001C288D"/>
    <w:rsid w:val="001C7CF3"/>
    <w:rsid w:val="001D1805"/>
    <w:rsid w:val="001D4818"/>
    <w:rsid w:val="001E48F6"/>
    <w:rsid w:val="001E4FE0"/>
    <w:rsid w:val="001E5F58"/>
    <w:rsid w:val="001E72A9"/>
    <w:rsid w:val="00202190"/>
    <w:rsid w:val="00204FEA"/>
    <w:rsid w:val="00207C02"/>
    <w:rsid w:val="00210E08"/>
    <w:rsid w:val="002123AF"/>
    <w:rsid w:val="002216BE"/>
    <w:rsid w:val="00237C55"/>
    <w:rsid w:val="0026213F"/>
    <w:rsid w:val="002643C2"/>
    <w:rsid w:val="0027184B"/>
    <w:rsid w:val="00277161"/>
    <w:rsid w:val="00277574"/>
    <w:rsid w:val="002921E9"/>
    <w:rsid w:val="002A4D82"/>
    <w:rsid w:val="002A7609"/>
    <w:rsid w:val="002B4D7E"/>
    <w:rsid w:val="002B5829"/>
    <w:rsid w:val="002B67E2"/>
    <w:rsid w:val="002C6228"/>
    <w:rsid w:val="002D568F"/>
    <w:rsid w:val="002D5DB3"/>
    <w:rsid w:val="002E0AD0"/>
    <w:rsid w:val="002E64F0"/>
    <w:rsid w:val="002F04C8"/>
    <w:rsid w:val="002F6EF6"/>
    <w:rsid w:val="00315BA7"/>
    <w:rsid w:val="003162C7"/>
    <w:rsid w:val="00317D07"/>
    <w:rsid w:val="00321DAA"/>
    <w:rsid w:val="00322E2A"/>
    <w:rsid w:val="003249CF"/>
    <w:rsid w:val="0033227A"/>
    <w:rsid w:val="003376D5"/>
    <w:rsid w:val="00343B29"/>
    <w:rsid w:val="00355D6F"/>
    <w:rsid w:val="00357C00"/>
    <w:rsid w:val="00357E47"/>
    <w:rsid w:val="0037021C"/>
    <w:rsid w:val="00380354"/>
    <w:rsid w:val="00380A9F"/>
    <w:rsid w:val="003845DE"/>
    <w:rsid w:val="00391DBD"/>
    <w:rsid w:val="003970FA"/>
    <w:rsid w:val="00397FA7"/>
    <w:rsid w:val="003A2848"/>
    <w:rsid w:val="003C2561"/>
    <w:rsid w:val="003C259D"/>
    <w:rsid w:val="003E030C"/>
    <w:rsid w:val="003E2A2B"/>
    <w:rsid w:val="003E7523"/>
    <w:rsid w:val="003F486E"/>
    <w:rsid w:val="00402300"/>
    <w:rsid w:val="0040612E"/>
    <w:rsid w:val="004113F8"/>
    <w:rsid w:val="0042123C"/>
    <w:rsid w:val="00434CF5"/>
    <w:rsid w:val="00441502"/>
    <w:rsid w:val="004426F5"/>
    <w:rsid w:val="004517C4"/>
    <w:rsid w:val="00456B35"/>
    <w:rsid w:val="00461D86"/>
    <w:rsid w:val="00466C9E"/>
    <w:rsid w:val="00471148"/>
    <w:rsid w:val="00486EA0"/>
    <w:rsid w:val="004A0FE9"/>
    <w:rsid w:val="004A13F8"/>
    <w:rsid w:val="004A5AC3"/>
    <w:rsid w:val="004A6A5D"/>
    <w:rsid w:val="004B5EDA"/>
    <w:rsid w:val="004C12E2"/>
    <w:rsid w:val="004C3211"/>
    <w:rsid w:val="004C5236"/>
    <w:rsid w:val="004F6DF2"/>
    <w:rsid w:val="00505EA5"/>
    <w:rsid w:val="0050673B"/>
    <w:rsid w:val="005079AE"/>
    <w:rsid w:val="00512472"/>
    <w:rsid w:val="00512A52"/>
    <w:rsid w:val="005154A8"/>
    <w:rsid w:val="00524BDA"/>
    <w:rsid w:val="00526E6C"/>
    <w:rsid w:val="005309C2"/>
    <w:rsid w:val="00541820"/>
    <w:rsid w:val="00542FAA"/>
    <w:rsid w:val="005560EE"/>
    <w:rsid w:val="00561E9B"/>
    <w:rsid w:val="005642E5"/>
    <w:rsid w:val="00572D6A"/>
    <w:rsid w:val="005771AE"/>
    <w:rsid w:val="005A42A1"/>
    <w:rsid w:val="005A73A6"/>
    <w:rsid w:val="005B7B76"/>
    <w:rsid w:val="005C179F"/>
    <w:rsid w:val="005C7CBF"/>
    <w:rsid w:val="005D0E62"/>
    <w:rsid w:val="005D1F2B"/>
    <w:rsid w:val="005D7EE2"/>
    <w:rsid w:val="005E133E"/>
    <w:rsid w:val="005F081D"/>
    <w:rsid w:val="005F309B"/>
    <w:rsid w:val="00612B2A"/>
    <w:rsid w:val="00614260"/>
    <w:rsid w:val="006208DE"/>
    <w:rsid w:val="00622E38"/>
    <w:rsid w:val="0065286D"/>
    <w:rsid w:val="006621F5"/>
    <w:rsid w:val="00662D4C"/>
    <w:rsid w:val="00673343"/>
    <w:rsid w:val="00675E5B"/>
    <w:rsid w:val="00677FCB"/>
    <w:rsid w:val="00680392"/>
    <w:rsid w:val="0068039A"/>
    <w:rsid w:val="00681091"/>
    <w:rsid w:val="00686DEA"/>
    <w:rsid w:val="0069302A"/>
    <w:rsid w:val="006978A2"/>
    <w:rsid w:val="006A2FB2"/>
    <w:rsid w:val="006A5463"/>
    <w:rsid w:val="006A6971"/>
    <w:rsid w:val="006A7AD0"/>
    <w:rsid w:val="006B0E05"/>
    <w:rsid w:val="006B62A0"/>
    <w:rsid w:val="006C2F9E"/>
    <w:rsid w:val="006D4881"/>
    <w:rsid w:val="006E553C"/>
    <w:rsid w:val="006E7EE6"/>
    <w:rsid w:val="006F25C6"/>
    <w:rsid w:val="006F5DC6"/>
    <w:rsid w:val="006F6488"/>
    <w:rsid w:val="006F6D92"/>
    <w:rsid w:val="006F6EB7"/>
    <w:rsid w:val="00701857"/>
    <w:rsid w:val="00703727"/>
    <w:rsid w:val="007041FC"/>
    <w:rsid w:val="00726141"/>
    <w:rsid w:val="00733AD8"/>
    <w:rsid w:val="007378A6"/>
    <w:rsid w:val="007441B8"/>
    <w:rsid w:val="00754B13"/>
    <w:rsid w:val="007573E8"/>
    <w:rsid w:val="00765195"/>
    <w:rsid w:val="007857D3"/>
    <w:rsid w:val="00793EE8"/>
    <w:rsid w:val="00797981"/>
    <w:rsid w:val="00797AFE"/>
    <w:rsid w:val="007A1740"/>
    <w:rsid w:val="007A353A"/>
    <w:rsid w:val="007A3D6F"/>
    <w:rsid w:val="007A6323"/>
    <w:rsid w:val="007B2123"/>
    <w:rsid w:val="007B5EF6"/>
    <w:rsid w:val="007C23C3"/>
    <w:rsid w:val="007C66AB"/>
    <w:rsid w:val="007C6814"/>
    <w:rsid w:val="007D2671"/>
    <w:rsid w:val="007D7A41"/>
    <w:rsid w:val="007E53CC"/>
    <w:rsid w:val="007E5CEF"/>
    <w:rsid w:val="007F348C"/>
    <w:rsid w:val="007F41AE"/>
    <w:rsid w:val="00803E29"/>
    <w:rsid w:val="00821577"/>
    <w:rsid w:val="00827005"/>
    <w:rsid w:val="00833754"/>
    <w:rsid w:val="00852D3E"/>
    <w:rsid w:val="008774C0"/>
    <w:rsid w:val="008A525E"/>
    <w:rsid w:val="008B288F"/>
    <w:rsid w:val="008C0AE2"/>
    <w:rsid w:val="008C3B3C"/>
    <w:rsid w:val="008D04D8"/>
    <w:rsid w:val="008D5663"/>
    <w:rsid w:val="008E01C3"/>
    <w:rsid w:val="008E5206"/>
    <w:rsid w:val="0090628E"/>
    <w:rsid w:val="0091092C"/>
    <w:rsid w:val="009125BA"/>
    <w:rsid w:val="00914103"/>
    <w:rsid w:val="00915A42"/>
    <w:rsid w:val="009306F3"/>
    <w:rsid w:val="0093071D"/>
    <w:rsid w:val="00935A58"/>
    <w:rsid w:val="009404CE"/>
    <w:rsid w:val="009407C2"/>
    <w:rsid w:val="00966B68"/>
    <w:rsid w:val="00967016"/>
    <w:rsid w:val="00967C0E"/>
    <w:rsid w:val="00986E61"/>
    <w:rsid w:val="0099026A"/>
    <w:rsid w:val="009929A5"/>
    <w:rsid w:val="009B043E"/>
    <w:rsid w:val="009B28BD"/>
    <w:rsid w:val="009B2D41"/>
    <w:rsid w:val="009B5CAD"/>
    <w:rsid w:val="009C5B4D"/>
    <w:rsid w:val="009C6A3C"/>
    <w:rsid w:val="009D5DD0"/>
    <w:rsid w:val="009D7938"/>
    <w:rsid w:val="009E1CC8"/>
    <w:rsid w:val="009E2DE1"/>
    <w:rsid w:val="009E62F2"/>
    <w:rsid w:val="009F6E64"/>
    <w:rsid w:val="009F788C"/>
    <w:rsid w:val="00A04F6D"/>
    <w:rsid w:val="00A107DF"/>
    <w:rsid w:val="00A22C74"/>
    <w:rsid w:val="00A260D2"/>
    <w:rsid w:val="00A3765B"/>
    <w:rsid w:val="00A431F7"/>
    <w:rsid w:val="00A44DCE"/>
    <w:rsid w:val="00A51F6F"/>
    <w:rsid w:val="00A52B94"/>
    <w:rsid w:val="00A665F6"/>
    <w:rsid w:val="00A7174C"/>
    <w:rsid w:val="00A77390"/>
    <w:rsid w:val="00A869A9"/>
    <w:rsid w:val="00A91828"/>
    <w:rsid w:val="00A925CA"/>
    <w:rsid w:val="00A94A24"/>
    <w:rsid w:val="00AA5692"/>
    <w:rsid w:val="00AA6CFD"/>
    <w:rsid w:val="00AB5790"/>
    <w:rsid w:val="00AC251B"/>
    <w:rsid w:val="00AC45D7"/>
    <w:rsid w:val="00AD0EEC"/>
    <w:rsid w:val="00AD4491"/>
    <w:rsid w:val="00AF569E"/>
    <w:rsid w:val="00AF64AB"/>
    <w:rsid w:val="00B002A8"/>
    <w:rsid w:val="00B0484D"/>
    <w:rsid w:val="00B14607"/>
    <w:rsid w:val="00B17EC5"/>
    <w:rsid w:val="00B32089"/>
    <w:rsid w:val="00B40153"/>
    <w:rsid w:val="00B47161"/>
    <w:rsid w:val="00B61C2D"/>
    <w:rsid w:val="00B6253E"/>
    <w:rsid w:val="00B62DB9"/>
    <w:rsid w:val="00B63A63"/>
    <w:rsid w:val="00B7050A"/>
    <w:rsid w:val="00B71E35"/>
    <w:rsid w:val="00B72D33"/>
    <w:rsid w:val="00B73CCD"/>
    <w:rsid w:val="00B74AD5"/>
    <w:rsid w:val="00B76A9B"/>
    <w:rsid w:val="00B96FDE"/>
    <w:rsid w:val="00BB3559"/>
    <w:rsid w:val="00BB3634"/>
    <w:rsid w:val="00BB410A"/>
    <w:rsid w:val="00BB4AAA"/>
    <w:rsid w:val="00BC1461"/>
    <w:rsid w:val="00BC5FBD"/>
    <w:rsid w:val="00BD665F"/>
    <w:rsid w:val="00BE5E19"/>
    <w:rsid w:val="00BF08A5"/>
    <w:rsid w:val="00BF2EF0"/>
    <w:rsid w:val="00C01753"/>
    <w:rsid w:val="00C15E34"/>
    <w:rsid w:val="00C228E8"/>
    <w:rsid w:val="00C2307D"/>
    <w:rsid w:val="00C253BE"/>
    <w:rsid w:val="00C36A81"/>
    <w:rsid w:val="00C43798"/>
    <w:rsid w:val="00C469E3"/>
    <w:rsid w:val="00C501CA"/>
    <w:rsid w:val="00C5463F"/>
    <w:rsid w:val="00C708F4"/>
    <w:rsid w:val="00C72E7B"/>
    <w:rsid w:val="00C9367B"/>
    <w:rsid w:val="00C9489F"/>
    <w:rsid w:val="00C94B1D"/>
    <w:rsid w:val="00CA689C"/>
    <w:rsid w:val="00CB3FC5"/>
    <w:rsid w:val="00CC184A"/>
    <w:rsid w:val="00CC75C5"/>
    <w:rsid w:val="00CD39DF"/>
    <w:rsid w:val="00CD61A3"/>
    <w:rsid w:val="00CD7FE9"/>
    <w:rsid w:val="00CE1D68"/>
    <w:rsid w:val="00CE5B75"/>
    <w:rsid w:val="00CF08EB"/>
    <w:rsid w:val="00CF77A0"/>
    <w:rsid w:val="00D03F1D"/>
    <w:rsid w:val="00D05DCE"/>
    <w:rsid w:val="00D27E50"/>
    <w:rsid w:val="00D32F91"/>
    <w:rsid w:val="00D44D18"/>
    <w:rsid w:val="00D51DE1"/>
    <w:rsid w:val="00D6466E"/>
    <w:rsid w:val="00D649D7"/>
    <w:rsid w:val="00D66F05"/>
    <w:rsid w:val="00D775A2"/>
    <w:rsid w:val="00D80144"/>
    <w:rsid w:val="00D90EA6"/>
    <w:rsid w:val="00D91326"/>
    <w:rsid w:val="00DA5169"/>
    <w:rsid w:val="00DC6B21"/>
    <w:rsid w:val="00DD1F42"/>
    <w:rsid w:val="00DD7C69"/>
    <w:rsid w:val="00DD7C79"/>
    <w:rsid w:val="00DE4852"/>
    <w:rsid w:val="00DE4DCD"/>
    <w:rsid w:val="00DF019B"/>
    <w:rsid w:val="00DF0613"/>
    <w:rsid w:val="00DF3E73"/>
    <w:rsid w:val="00E00768"/>
    <w:rsid w:val="00E1524F"/>
    <w:rsid w:val="00E1780F"/>
    <w:rsid w:val="00E17893"/>
    <w:rsid w:val="00E2086D"/>
    <w:rsid w:val="00E27656"/>
    <w:rsid w:val="00E42BFB"/>
    <w:rsid w:val="00E4390B"/>
    <w:rsid w:val="00E44090"/>
    <w:rsid w:val="00E450BC"/>
    <w:rsid w:val="00E46502"/>
    <w:rsid w:val="00E46B61"/>
    <w:rsid w:val="00E522C2"/>
    <w:rsid w:val="00E55CC2"/>
    <w:rsid w:val="00E602EE"/>
    <w:rsid w:val="00E74393"/>
    <w:rsid w:val="00E74687"/>
    <w:rsid w:val="00E83A22"/>
    <w:rsid w:val="00E84A5E"/>
    <w:rsid w:val="00E869CF"/>
    <w:rsid w:val="00E8714C"/>
    <w:rsid w:val="00E92D30"/>
    <w:rsid w:val="00E93448"/>
    <w:rsid w:val="00E97045"/>
    <w:rsid w:val="00EA2B38"/>
    <w:rsid w:val="00EA2BE9"/>
    <w:rsid w:val="00EA6907"/>
    <w:rsid w:val="00EC63AB"/>
    <w:rsid w:val="00ED336C"/>
    <w:rsid w:val="00ED3633"/>
    <w:rsid w:val="00EF139A"/>
    <w:rsid w:val="00EF289B"/>
    <w:rsid w:val="00EF6955"/>
    <w:rsid w:val="00F070C4"/>
    <w:rsid w:val="00F169A3"/>
    <w:rsid w:val="00F2541C"/>
    <w:rsid w:val="00F25F3C"/>
    <w:rsid w:val="00F45B91"/>
    <w:rsid w:val="00F55261"/>
    <w:rsid w:val="00F57B4D"/>
    <w:rsid w:val="00F76869"/>
    <w:rsid w:val="00F851DD"/>
    <w:rsid w:val="00F92289"/>
    <w:rsid w:val="00F94E2C"/>
    <w:rsid w:val="00FA3594"/>
    <w:rsid w:val="00FB7DB8"/>
    <w:rsid w:val="00FC00DB"/>
    <w:rsid w:val="00FC2DF2"/>
    <w:rsid w:val="00FC43B8"/>
    <w:rsid w:val="00FC4B4E"/>
    <w:rsid w:val="00FC7778"/>
    <w:rsid w:val="00FE0E9D"/>
    <w:rsid w:val="00FE34B2"/>
    <w:rsid w:val="00FF0D8B"/>
    <w:rsid w:val="00FF70C6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D240"/>
  <w15:chartTrackingRefBased/>
  <w15:docId w15:val="{58D2AF19-71A6-4683-B21F-3F72745A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6DEE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="Times New Roman"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DEE"/>
    <w:pPr>
      <w:keepNext/>
      <w:keepLines/>
      <w:spacing w:before="40" w:after="0"/>
      <w:outlineLvl w:val="1"/>
    </w:pPr>
    <w:rPr>
      <w:rFonts w:ascii="Times New Roman" w:eastAsiaTheme="majorEastAsia" w:hAnsi="Times New Roman" w:cs="Times New Roman"/>
      <w:b/>
      <w:color w:val="2E74B5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E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5C5"/>
  </w:style>
  <w:style w:type="paragraph" w:styleId="Footer">
    <w:name w:val="footer"/>
    <w:basedOn w:val="Normal"/>
    <w:link w:val="FooterChar"/>
    <w:uiPriority w:val="99"/>
    <w:unhideWhenUsed/>
    <w:rsid w:val="00CC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5C5"/>
  </w:style>
  <w:style w:type="character" w:customStyle="1" w:styleId="Heading1Char">
    <w:name w:val="Heading 1 Char"/>
    <w:basedOn w:val="DefaultParagraphFont"/>
    <w:link w:val="Heading1"/>
    <w:uiPriority w:val="9"/>
    <w:rsid w:val="00036DEE"/>
    <w:rPr>
      <w:rFonts w:ascii="Times New Roman" w:eastAsiaTheme="majorEastAsia" w:hAnsi="Times New Roman" w:cs="Times New Roman"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36DEE"/>
    <w:rPr>
      <w:rFonts w:ascii="Times New Roman" w:eastAsiaTheme="majorEastAsia" w:hAnsi="Times New Roman" w:cs="Times New Roman"/>
      <w:b/>
      <w:color w:val="2E74B5" w:themeColor="accent1" w:themeShade="B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F6DF2"/>
    <w:pPr>
      <w:jc w:val="left"/>
      <w:outlineLvl w:val="9"/>
    </w:pPr>
    <w:rPr>
      <w:rFonts w:asciiTheme="majorHAnsi" w:hAnsiTheme="majorHAnsi" w:cstheme="majorBidi"/>
      <w:sz w:val="32"/>
      <w:szCs w:val="32"/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4F6DF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F6DF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F6DF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63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3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3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3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8" Type="http://schemas.openxmlformats.org/officeDocument/2006/relationships/hyperlink" Target="http://www.portauthority.hr/izvjesca-i-odluke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EAC25-1F4B-41A6-8259-B3B33215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2574</Words>
  <Characters>14677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Vrčak</dc:creator>
  <cp:keywords/>
  <dc:description/>
  <cp:lastModifiedBy>Rita Ivancic</cp:lastModifiedBy>
  <cp:revision>2</cp:revision>
  <dcterms:created xsi:type="dcterms:W3CDTF">2025-01-31T08:21:00Z</dcterms:created>
  <dcterms:modified xsi:type="dcterms:W3CDTF">2025-01-31T08:21:00Z</dcterms:modified>
</cp:coreProperties>
</file>